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98E4F" w14:textId="24901C14" w:rsidR="00DA1DAD" w:rsidRPr="00DA1DAD" w:rsidRDefault="00BD2B69" w:rsidP="00DA1DAD">
      <w:pPr>
        <w:spacing w:line="256" w:lineRule="auto"/>
        <w:rPr>
          <w:rFonts w:cstheme="minorHAnsi"/>
          <w:b/>
          <w:bCs/>
          <w:i/>
          <w:iCs/>
          <w:kern w:val="0"/>
          <w:szCs w:val="22"/>
          <w14:ligatures w14:val="none"/>
        </w:rPr>
      </w:pPr>
      <w:r>
        <w:rPr>
          <w:rFonts w:cstheme="minorHAnsi"/>
          <w:b/>
          <w:bCs/>
          <w:i/>
          <w:iCs/>
          <w:kern w:val="0"/>
          <w:szCs w:val="22"/>
          <w14:ligatures w14:val="none"/>
        </w:rPr>
        <w:t xml:space="preserve"> </w:t>
      </w:r>
      <w:r w:rsidR="00CF122A">
        <w:rPr>
          <w:rFonts w:cstheme="minorHAnsi"/>
          <w:b/>
          <w:bCs/>
          <w:i/>
          <w:iCs/>
          <w:kern w:val="0"/>
          <w:szCs w:val="22"/>
          <w14:ligatures w14:val="none"/>
        </w:rPr>
        <w:t xml:space="preserve">  </w:t>
      </w:r>
      <w:r w:rsidR="00617611">
        <w:rPr>
          <w:rFonts w:cstheme="minorHAnsi"/>
          <w:b/>
          <w:bCs/>
          <w:i/>
          <w:iCs/>
          <w:kern w:val="0"/>
          <w:szCs w:val="22"/>
          <w14:ligatures w14:val="none"/>
        </w:rPr>
        <w:t xml:space="preserve"> </w:t>
      </w:r>
      <w:r w:rsidR="00617611">
        <w:rPr>
          <w:noProof/>
        </w:rPr>
        <w:drawing>
          <wp:inline distT="0" distB="0" distL="0" distR="0" wp14:anchorId="39EDF008" wp14:editId="6BADEBB5">
            <wp:extent cx="6657975" cy="8248650"/>
            <wp:effectExtent l="0" t="0" r="9525" b="0"/>
            <wp:docPr id="2123298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9824" cy="8263330"/>
                    </a:xfrm>
                    <a:prstGeom prst="rect">
                      <a:avLst/>
                    </a:prstGeom>
                    <a:noFill/>
                    <a:ln>
                      <a:noFill/>
                    </a:ln>
                  </pic:spPr>
                </pic:pic>
              </a:graphicData>
            </a:graphic>
          </wp:inline>
        </w:drawing>
      </w:r>
    </w:p>
    <w:p w14:paraId="2A85639D" w14:textId="77777777" w:rsidR="00DA1DAD" w:rsidRPr="00DA1DAD" w:rsidRDefault="00DA1DAD" w:rsidP="00DA1DAD">
      <w:pPr>
        <w:spacing w:line="259" w:lineRule="auto"/>
        <w:rPr>
          <w:rFonts w:cstheme="minorHAnsi"/>
          <w:b/>
          <w:bCs/>
          <w:i/>
          <w:iCs/>
          <w:kern w:val="0"/>
          <w:szCs w:val="22"/>
          <w14:ligatures w14:val="none"/>
        </w:rPr>
      </w:pPr>
      <w:r w:rsidRPr="00DA1DAD">
        <w:rPr>
          <w:rFonts w:cstheme="minorHAnsi"/>
          <w:b/>
          <w:bCs/>
          <w:i/>
          <w:iCs/>
          <w:kern w:val="0"/>
          <w:szCs w:val="22"/>
          <w14:ligatures w14:val="none"/>
        </w:rPr>
        <w:br w:type="page"/>
      </w:r>
    </w:p>
    <w:p w14:paraId="5A4B3BA0" w14:textId="77777777" w:rsidR="00DA1DAD" w:rsidRPr="00DA1DAD" w:rsidRDefault="00DA1DAD" w:rsidP="00DA1DAD">
      <w:pPr>
        <w:spacing w:line="256" w:lineRule="auto"/>
        <w:rPr>
          <w:rFonts w:cstheme="minorHAnsi"/>
          <w:b/>
          <w:bCs/>
          <w:i/>
          <w:iCs/>
          <w:kern w:val="0"/>
          <w:szCs w:val="22"/>
          <w14:ligatures w14:val="none"/>
        </w:rPr>
      </w:pPr>
      <w:r w:rsidRPr="00DA1DAD">
        <w:rPr>
          <w:rFonts w:cstheme="minorHAnsi"/>
          <w:noProof/>
          <w:color w:val="FFFFFF" w:themeColor="background1"/>
          <w:kern w:val="28"/>
          <w:sz w:val="76"/>
          <w:szCs w:val="76"/>
          <w14:ligatures w14:val="none"/>
        </w:rPr>
        <w:lastRenderedPageBreak/>
        <mc:AlternateContent>
          <mc:Choice Requires="wps">
            <w:drawing>
              <wp:anchor distT="0" distB="0" distL="114300" distR="114300" simplePos="0" relativeHeight="251660288" behindDoc="0" locked="0" layoutInCell="1" allowOverlap="1" wp14:anchorId="0FEEB84B" wp14:editId="5420DAB4">
                <wp:simplePos x="0" y="0"/>
                <wp:positionH relativeFrom="margin">
                  <wp:posOffset>0</wp:posOffset>
                </wp:positionH>
                <wp:positionV relativeFrom="page">
                  <wp:posOffset>790575</wp:posOffset>
                </wp:positionV>
                <wp:extent cx="5010785" cy="895985"/>
                <wp:effectExtent l="0" t="0" r="0" b="0"/>
                <wp:wrapThrough wrapText="bothSides">
                  <wp:wrapPolygon edited="0">
                    <wp:start x="0" y="0"/>
                    <wp:lineTo x="0" y="21125"/>
                    <wp:lineTo x="21515" y="21125"/>
                    <wp:lineTo x="21515" y="0"/>
                    <wp:lineTo x="0" y="0"/>
                  </wp:wrapPolygon>
                </wp:wrapThrough>
                <wp:docPr id="6" name="Rectangle 6"/>
                <wp:cNvGraphicFramePr/>
                <a:graphic xmlns:a="http://schemas.openxmlformats.org/drawingml/2006/main">
                  <a:graphicData uri="http://schemas.microsoft.com/office/word/2010/wordprocessingShape">
                    <wps:wsp>
                      <wps:cNvSpPr/>
                      <wps:spPr>
                        <a:xfrm>
                          <a:off x="0" y="0"/>
                          <a:ext cx="5010785" cy="895985"/>
                        </a:xfrm>
                        <a:prstGeom prst="rect">
                          <a:avLst/>
                        </a:prstGeom>
                        <a:solidFill>
                          <a:srgbClr val="060680"/>
                        </a:solidFill>
                        <a:ln w="12700" cap="flat" cmpd="sng" algn="ctr">
                          <a:noFill/>
                          <a:prstDash val="solid"/>
                          <a:miter lim="8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DE1A215" w14:textId="77777777" w:rsidR="00DA1DAD" w:rsidRPr="007F4A2D" w:rsidRDefault="00DA1DAD" w:rsidP="00DA1DAD">
                            <w:pPr>
                              <w:pStyle w:val="Title"/>
                              <w:rPr>
                                <w:rFonts w:ascii="Calibri" w:hAnsi="Calibri" w:cs="Calibri"/>
                                <w:sz w:val="40"/>
                                <w:szCs w:val="40"/>
                              </w:rPr>
                            </w:pPr>
                            <w:r w:rsidRPr="007F4A2D">
                              <w:rPr>
                                <w:rFonts w:ascii="Calibri" w:hAnsi="Calibri" w:cs="Calibri"/>
                                <w:sz w:val="40"/>
                                <w:szCs w:val="40"/>
                              </w:rPr>
                              <w:t xml:space="preserve">Integrated Legal Consultants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EB84B" id="Rectangle 6" o:spid="_x0000_s1026" style="position:absolute;margin-left:0;margin-top:62.25pt;width:394.55pt;height:7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" fillcolor="#060680" stroked="f" strokeweight="1pt">
                <v:textbox inset=",7.2pt,,7.2pt">
                  <w:txbxContent>
                    <w:p w14:paraId="5DE1A215" w14:textId="77777777" w:rsidR="00DA1DAD" w:rsidRPr="007F4A2D" w:rsidRDefault="00DA1DAD" w:rsidP="00DA1DAD">
                      <w:pPr>
                        <w:pStyle w:val="Title"/>
                        <w:rPr>
                          <w:rFonts w:ascii="Calibri" w:hAnsi="Calibri" w:cs="Calibri"/>
                          <w:sz w:val="40"/>
                          <w:szCs w:val="40"/>
                        </w:rPr>
                      </w:pPr>
                      <w:r w:rsidRPr="007F4A2D">
                        <w:rPr>
                          <w:rFonts w:ascii="Calibri" w:hAnsi="Calibri" w:cs="Calibri"/>
                          <w:sz w:val="40"/>
                          <w:szCs w:val="40"/>
                        </w:rPr>
                        <w:t xml:space="preserve">Integrated Legal Consultants </w:t>
                      </w:r>
                    </w:p>
                  </w:txbxContent>
                </v:textbox>
                <w10:wrap type="through" anchorx="margin" anchory="page"/>
              </v:rect>
            </w:pict>
          </mc:Fallback>
        </mc:AlternateContent>
      </w:r>
      <w:r w:rsidRPr="00DA1DAD">
        <w:rPr>
          <w:rFonts w:cstheme="minorHAnsi"/>
          <w:noProof/>
          <w:kern w:val="0"/>
          <w:sz w:val="22"/>
          <w:szCs w:val="22"/>
          <w14:ligatures w14:val="none"/>
        </w:rPr>
        <mc:AlternateContent>
          <mc:Choice Requires="wps">
            <w:drawing>
              <wp:anchor distT="0" distB="0" distL="114300" distR="114300" simplePos="0" relativeHeight="251659264" behindDoc="0" locked="0" layoutInCell="1" allowOverlap="1" wp14:anchorId="0B7313D8" wp14:editId="58CD00E3">
                <wp:simplePos x="0" y="0"/>
                <wp:positionH relativeFrom="margin">
                  <wp:align>left</wp:align>
                </wp:positionH>
                <wp:positionV relativeFrom="page">
                  <wp:posOffset>1656715</wp:posOffset>
                </wp:positionV>
                <wp:extent cx="6877050" cy="643890"/>
                <wp:effectExtent l="0" t="0" r="0" b="3810"/>
                <wp:wrapThrough wrapText="bothSides">
                  <wp:wrapPolygon edited="0">
                    <wp:start x="120" y="0"/>
                    <wp:lineTo x="120" y="21089"/>
                    <wp:lineTo x="21420" y="21089"/>
                    <wp:lineTo x="21420" y="0"/>
                    <wp:lineTo x="120" y="0"/>
                  </wp:wrapPolygon>
                </wp:wrapThrough>
                <wp:docPr id="4" name="Text Box 4"/>
                <wp:cNvGraphicFramePr/>
                <a:graphic xmlns:a="http://schemas.openxmlformats.org/drawingml/2006/main">
                  <a:graphicData uri="http://schemas.microsoft.com/office/word/2010/wordprocessingShape">
                    <wps:wsp>
                      <wps:cNvSpPr txBox="1"/>
                      <wps:spPr>
                        <a:xfrm>
                          <a:off x="0" y="0"/>
                          <a:ext cx="6877050" cy="644511"/>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14:paraId="78346624" w14:textId="77777777" w:rsidR="00DA1DAD" w:rsidRDefault="00DA1DAD" w:rsidP="00DA1DAD">
                            <w:pPr>
                              <w:pStyle w:val="Heading1"/>
                              <w:jc w:val="center"/>
                              <w:rPr>
                                <w:rFonts w:ascii="Calibri" w:hAnsi="Calibri"/>
                                <w:color w:val="auto"/>
                                <w:sz w:val="48"/>
                                <w:szCs w:val="48"/>
                              </w:rPr>
                            </w:pPr>
                            <w:r w:rsidRPr="00AF6AD3">
                              <w:rPr>
                                <w:rFonts w:ascii="Calibri" w:hAnsi="Calibri"/>
                                <w:color w:val="auto"/>
                                <w:sz w:val="48"/>
                                <w:szCs w:val="48"/>
                              </w:rPr>
                              <w:t>Newsletter</w:t>
                            </w:r>
                          </w:p>
                          <w:p w14:paraId="0D3F7B60" w14:textId="77777777" w:rsidR="00DA1DAD" w:rsidRDefault="00DA1DAD" w:rsidP="00DA1DAD">
                            <w:pPr>
                              <w:pStyle w:val="Heading1"/>
                              <w:rPr>
                                <w:rFonts w:ascii="Calibri" w:hAnsi="Calibri"/>
                                <w:color w:val="auto"/>
                                <w:sz w:val="48"/>
                                <w:szCs w:val="48"/>
                              </w:rPr>
                            </w:pPr>
                          </w:p>
                          <w:p w14:paraId="576CD4EF" w14:textId="77777777" w:rsidR="00DA1DAD" w:rsidRDefault="00DA1DAD" w:rsidP="00DA1DAD">
                            <w:pPr>
                              <w:pStyle w:val="Heading1"/>
                              <w:rPr>
                                <w:rFonts w:ascii="Calibri" w:hAnsi="Calibri"/>
                                <w:color w:val="auto"/>
                                <w:sz w:val="48"/>
                                <w:szCs w:val="48"/>
                              </w:rPr>
                            </w:pPr>
                          </w:p>
                          <w:p w14:paraId="0531C479" w14:textId="77777777" w:rsidR="00DA1DAD" w:rsidRPr="00AF6AD3" w:rsidRDefault="00DA1DAD" w:rsidP="00DA1DAD">
                            <w:pPr>
                              <w:pStyle w:val="Heading1"/>
                              <w:rPr>
                                <w:rFonts w:ascii="Calibri" w:hAnsi="Calibri"/>
                                <w:color w:val="auto"/>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313D8" id="_x0000_t202" coordsize="21600,21600" o:spt="202" path="m,l,21600r21600,l21600,xe">
                <v:stroke joinstyle="miter"/>
                <v:path gradientshapeok="t" o:connecttype="rect"/>
              </v:shapetype>
              <v:shape id="Text Box 4" o:spid="_x0000_s1027" type="#_x0000_t202" style="position:absolute;margin-left:0;margin-top:130.45pt;width:541.5pt;height:5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" filled="f" stroked="f">
                <v:textbox>
                  <w:txbxContent>
                    <w:p w14:paraId="78346624" w14:textId="77777777" w:rsidR="00DA1DAD" w:rsidRDefault="00DA1DAD" w:rsidP="00DA1DAD">
                      <w:pPr>
                        <w:pStyle w:val="Heading1"/>
                        <w:jc w:val="center"/>
                        <w:rPr>
                          <w:rFonts w:ascii="Calibri" w:hAnsi="Calibri"/>
                          <w:color w:val="auto"/>
                          <w:sz w:val="48"/>
                          <w:szCs w:val="48"/>
                        </w:rPr>
                      </w:pPr>
                      <w:r w:rsidRPr="00AF6AD3">
                        <w:rPr>
                          <w:rFonts w:ascii="Calibri" w:hAnsi="Calibri"/>
                          <w:color w:val="auto"/>
                          <w:sz w:val="48"/>
                          <w:szCs w:val="48"/>
                        </w:rPr>
                        <w:t>Newsletter</w:t>
                      </w:r>
                    </w:p>
                    <w:p w14:paraId="0D3F7B60" w14:textId="77777777" w:rsidR="00DA1DAD" w:rsidRDefault="00DA1DAD" w:rsidP="00DA1DAD">
                      <w:pPr>
                        <w:pStyle w:val="Heading1"/>
                        <w:rPr>
                          <w:rFonts w:ascii="Calibri" w:hAnsi="Calibri"/>
                          <w:color w:val="auto"/>
                          <w:sz w:val="48"/>
                          <w:szCs w:val="48"/>
                        </w:rPr>
                      </w:pPr>
                    </w:p>
                    <w:p w14:paraId="576CD4EF" w14:textId="77777777" w:rsidR="00DA1DAD" w:rsidRDefault="00DA1DAD" w:rsidP="00DA1DAD">
                      <w:pPr>
                        <w:pStyle w:val="Heading1"/>
                        <w:rPr>
                          <w:rFonts w:ascii="Calibri" w:hAnsi="Calibri"/>
                          <w:color w:val="auto"/>
                          <w:sz w:val="48"/>
                          <w:szCs w:val="48"/>
                        </w:rPr>
                      </w:pPr>
                    </w:p>
                    <w:p w14:paraId="0531C479" w14:textId="77777777" w:rsidR="00DA1DAD" w:rsidRPr="00AF6AD3" w:rsidRDefault="00DA1DAD" w:rsidP="00DA1DAD">
                      <w:pPr>
                        <w:pStyle w:val="Heading1"/>
                        <w:rPr>
                          <w:rFonts w:ascii="Calibri" w:hAnsi="Calibri"/>
                          <w:color w:val="auto"/>
                          <w:sz w:val="48"/>
                          <w:szCs w:val="48"/>
                        </w:rPr>
                      </w:pPr>
                    </w:p>
                  </w:txbxContent>
                </v:textbox>
                <w10:wrap type="through" anchorx="margin" anchory="page"/>
              </v:shape>
            </w:pict>
          </mc:Fallback>
        </mc:AlternateContent>
      </w:r>
    </w:p>
    <w:p w14:paraId="133B4ECE" w14:textId="77777777" w:rsidR="00DA1DAD" w:rsidRPr="00DA1DAD" w:rsidRDefault="00DA1DAD" w:rsidP="00DA1DAD">
      <w:pPr>
        <w:spacing w:line="256" w:lineRule="auto"/>
        <w:rPr>
          <w:rFonts w:cstheme="minorHAnsi"/>
          <w:b/>
          <w:bCs/>
          <w:i/>
          <w:iCs/>
          <w:kern w:val="0"/>
          <w:szCs w:val="22"/>
          <w14:ligatures w14:val="none"/>
        </w:rPr>
      </w:pPr>
    </w:p>
    <w:p w14:paraId="654AFAF8" w14:textId="77777777" w:rsidR="00DA1DAD" w:rsidRPr="00DA1DAD" w:rsidRDefault="00DA1DAD" w:rsidP="00DA1DAD">
      <w:pPr>
        <w:spacing w:line="276" w:lineRule="auto"/>
        <w:rPr>
          <w:rFonts w:ascii="Calibri" w:hAnsi="Calibri" w:cs="Calibri"/>
          <w:kern w:val="0"/>
          <w:szCs w:val="22"/>
          <w14:ligatures w14:val="none"/>
        </w:rPr>
      </w:pPr>
      <w:r w:rsidRPr="00DA1DAD">
        <w:rPr>
          <w:rFonts w:ascii="Calibri" w:hAnsi="Calibri" w:cs="Calibri"/>
          <w:b/>
          <w:bCs/>
          <w:i/>
          <w:iCs/>
          <w:kern w:val="0"/>
          <w:szCs w:val="22"/>
          <w14:ligatures w14:val="none"/>
        </w:rPr>
        <w:t>Editor’s Note</w:t>
      </w:r>
    </w:p>
    <w:p w14:paraId="088AD689" w14:textId="77777777" w:rsidR="00DA1DAD" w:rsidRPr="00DA1DAD" w:rsidRDefault="00DA1DAD" w:rsidP="00DA1DAD">
      <w:pPr>
        <w:spacing w:line="256" w:lineRule="auto"/>
        <w:rPr>
          <w:rFonts w:cstheme="minorHAnsi"/>
          <w:b/>
          <w:bCs/>
          <w:i/>
          <w:iCs/>
          <w:kern w:val="0"/>
          <w:szCs w:val="22"/>
          <w14:ligatures w14:val="none"/>
        </w:rPr>
      </w:pPr>
    </w:p>
    <w:p w14:paraId="51550276" w14:textId="77777777" w:rsidR="00DA1DAD" w:rsidRPr="00DA1DAD" w:rsidRDefault="00DA1DAD" w:rsidP="00DA1DAD">
      <w:pPr>
        <w:spacing w:line="276" w:lineRule="auto"/>
        <w:rPr>
          <w:rFonts w:cstheme="minorHAnsi"/>
          <w:b/>
          <w:bCs/>
          <w:i/>
          <w:iCs/>
          <w:kern w:val="0"/>
          <w:szCs w:val="22"/>
          <w14:ligatures w14:val="none"/>
        </w:rPr>
      </w:pPr>
      <w:r w:rsidRPr="00DA1DAD">
        <w:rPr>
          <w:rFonts w:cstheme="minorHAnsi"/>
          <w:noProof/>
          <w:kern w:val="0"/>
          <w:sz w:val="22"/>
          <w:szCs w:val="22"/>
          <w14:ligatures w14:val="none"/>
        </w:rPr>
        <mc:AlternateContent>
          <mc:Choice Requires="wps">
            <w:drawing>
              <wp:anchor distT="0" distB="0" distL="114300" distR="114300" simplePos="0" relativeHeight="251661312" behindDoc="1" locked="0" layoutInCell="1" allowOverlap="1" wp14:anchorId="4BA7DFE1" wp14:editId="0244854C">
                <wp:simplePos x="0" y="0"/>
                <wp:positionH relativeFrom="margin">
                  <wp:align>right</wp:align>
                </wp:positionH>
                <wp:positionV relativeFrom="margin">
                  <wp:posOffset>344411</wp:posOffset>
                </wp:positionV>
                <wp:extent cx="1722120" cy="855146"/>
                <wp:effectExtent l="0" t="0" r="0" b="2540"/>
                <wp:wrapNone/>
                <wp:docPr id="1" name="Rectangle 1"/>
                <wp:cNvGraphicFramePr/>
                <a:graphic xmlns:a="http://schemas.openxmlformats.org/drawingml/2006/main">
                  <a:graphicData uri="http://schemas.microsoft.com/office/word/2010/wordprocessingShape">
                    <wps:wsp>
                      <wps:cNvSpPr/>
                      <wps:spPr>
                        <a:xfrm>
                          <a:off x="0" y="0"/>
                          <a:ext cx="1722120" cy="855146"/>
                        </a:xfrm>
                        <a:prstGeom prst="rect">
                          <a:avLst/>
                        </a:prstGeom>
                        <a:solidFill>
                          <a:srgbClr val="060680"/>
                        </a:solidFill>
                        <a:ln w="12700" cap="flat" cmpd="sng" algn="ctr">
                          <a:noFill/>
                          <a:prstDash val="solid"/>
                          <a:miter lim="8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4AA9089" w14:textId="77777777" w:rsidR="00DA1DAD" w:rsidRPr="00CC7A86" w:rsidRDefault="00DA1DAD" w:rsidP="00DA1DAD">
                            <w:pPr>
                              <w:pStyle w:val="Subtitle"/>
                              <w:jc w:val="both"/>
                              <w:rPr>
                                <w:rFonts w:ascii="Calibri" w:hAnsi="Calibri" w:cs="Calibri"/>
                                <w:color w:val="FFFFFF" w:themeColor="background1"/>
                                <w:sz w:val="24"/>
                                <w:szCs w:val="24"/>
                              </w:rPr>
                            </w:pPr>
                            <w:r w:rsidRPr="00CC7A86">
                              <w:rPr>
                                <w:rFonts w:ascii="Calibri" w:hAnsi="Calibri" w:cs="Calibri"/>
                                <w:color w:val="FFFFFF" w:themeColor="background1"/>
                                <w:sz w:val="24"/>
                                <w:szCs w:val="24"/>
                              </w:rPr>
                              <w:t>Edition 20</w:t>
                            </w:r>
                          </w:p>
                          <w:p w14:paraId="6E779FEC" w14:textId="77777777" w:rsidR="00DA1DAD" w:rsidRPr="00CC7A86" w:rsidRDefault="00DA1DAD" w:rsidP="00DA1DAD">
                            <w:pPr>
                              <w:jc w:val="both"/>
                              <w:rPr>
                                <w:rFonts w:ascii="Calibri" w:hAnsi="Calibri" w:cs="Calibri"/>
                                <w:color w:val="FFFFFF" w:themeColor="background1"/>
                              </w:rPr>
                            </w:pPr>
                            <w:r w:rsidRPr="00CC7A86">
                              <w:rPr>
                                <w:rFonts w:ascii="Calibri" w:hAnsi="Calibri" w:cs="Calibri"/>
                                <w:color w:val="FFFFFF" w:themeColor="background1"/>
                              </w:rPr>
                              <w:t>June 2024</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7DFE1" id="Rectangle 1" o:spid="_x0000_s1028" style="position:absolute;margin-left:84.4pt;margin-top:27.1pt;width:135.6pt;height:67.3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" fillcolor="#060680" stroked="f" strokeweight="1pt">
                <v:textbox inset=",7.2pt,,7.2pt">
                  <w:txbxContent>
                    <w:p w14:paraId="14AA9089" w14:textId="77777777" w:rsidR="00DA1DAD" w:rsidRPr="00CC7A86" w:rsidRDefault="00DA1DAD" w:rsidP="00DA1DAD">
                      <w:pPr>
                        <w:pStyle w:val="Subtitle"/>
                        <w:jc w:val="both"/>
                        <w:rPr>
                          <w:rFonts w:ascii="Calibri" w:hAnsi="Calibri" w:cs="Calibri"/>
                          <w:color w:val="FFFFFF" w:themeColor="background1"/>
                          <w:sz w:val="24"/>
                          <w:szCs w:val="24"/>
                        </w:rPr>
                      </w:pPr>
                      <w:r w:rsidRPr="00CC7A86">
                        <w:rPr>
                          <w:rFonts w:ascii="Calibri" w:hAnsi="Calibri" w:cs="Calibri"/>
                          <w:color w:val="FFFFFF" w:themeColor="background1"/>
                          <w:sz w:val="24"/>
                          <w:szCs w:val="24"/>
                        </w:rPr>
                        <w:t>Edition 20</w:t>
                      </w:r>
                    </w:p>
                    <w:p w14:paraId="6E779FEC" w14:textId="77777777" w:rsidR="00DA1DAD" w:rsidRPr="00CC7A86" w:rsidRDefault="00DA1DAD" w:rsidP="00DA1DAD">
                      <w:pPr>
                        <w:jc w:val="both"/>
                        <w:rPr>
                          <w:rFonts w:ascii="Calibri" w:hAnsi="Calibri" w:cs="Calibri"/>
                          <w:color w:val="FFFFFF" w:themeColor="background1"/>
                        </w:rPr>
                      </w:pPr>
                      <w:r w:rsidRPr="00CC7A86">
                        <w:rPr>
                          <w:rFonts w:ascii="Calibri" w:hAnsi="Calibri" w:cs="Calibri"/>
                          <w:color w:val="FFFFFF" w:themeColor="background1"/>
                        </w:rPr>
                        <w:t>June 2024</w:t>
                      </w:r>
                    </w:p>
                  </w:txbxContent>
                </v:textbox>
                <w10:wrap anchorx="margin" anchory="margin"/>
              </v:rect>
            </w:pict>
          </mc:Fallback>
        </mc:AlternateContent>
      </w:r>
    </w:p>
    <w:p w14:paraId="454C47A7" w14:textId="77777777" w:rsidR="00DA1DAD" w:rsidRPr="00DA1DAD" w:rsidRDefault="00DA1DAD" w:rsidP="00DA1DAD">
      <w:pPr>
        <w:spacing w:line="276" w:lineRule="auto"/>
        <w:rPr>
          <w:rFonts w:cstheme="minorHAnsi"/>
          <w:b/>
          <w:bCs/>
          <w:i/>
          <w:iCs/>
          <w:kern w:val="0"/>
          <w:szCs w:val="22"/>
          <w14:ligatures w14:val="none"/>
        </w:rPr>
      </w:pPr>
    </w:p>
    <w:p w14:paraId="1A65A2E5" w14:textId="77777777" w:rsidR="00DA1DAD" w:rsidRPr="00DA1DAD" w:rsidRDefault="00DA1DAD" w:rsidP="00DA1DAD">
      <w:pPr>
        <w:spacing w:line="276" w:lineRule="auto"/>
        <w:rPr>
          <w:rFonts w:cstheme="minorHAnsi"/>
          <w:b/>
          <w:bCs/>
          <w:i/>
          <w:iCs/>
          <w:kern w:val="0"/>
          <w:szCs w:val="22"/>
          <w14:ligatures w14:val="none"/>
        </w:rPr>
      </w:pPr>
    </w:p>
    <w:p w14:paraId="4826DAC5" w14:textId="77777777" w:rsidR="00DA1DAD" w:rsidRPr="00DA1DAD" w:rsidRDefault="00DA1DAD" w:rsidP="00DA1DAD">
      <w:pPr>
        <w:spacing w:line="276" w:lineRule="auto"/>
        <w:rPr>
          <w:rFonts w:cstheme="minorHAnsi"/>
          <w:b/>
          <w:bCs/>
          <w:i/>
          <w:iCs/>
          <w:kern w:val="0"/>
          <w:szCs w:val="22"/>
          <w14:ligatures w14:val="none"/>
        </w:rPr>
      </w:pPr>
    </w:p>
    <w:p w14:paraId="15A39E85" w14:textId="77777777" w:rsidR="00DA1DAD" w:rsidRPr="00DA1DAD" w:rsidRDefault="00DA1DAD" w:rsidP="00DA1DAD">
      <w:pPr>
        <w:spacing w:line="276" w:lineRule="auto"/>
        <w:rPr>
          <w:rFonts w:cstheme="minorHAnsi"/>
          <w:kern w:val="0"/>
          <w:sz w:val="22"/>
          <w:szCs w:val="22"/>
          <w14:ligatures w14:val="none"/>
        </w:rPr>
      </w:pPr>
    </w:p>
    <w:p w14:paraId="41051DD2" w14:textId="77777777" w:rsidR="00DA1DAD" w:rsidRPr="00DA1DAD" w:rsidRDefault="00DA1DAD" w:rsidP="00DA1DAD">
      <w:pPr>
        <w:spacing w:after="0" w:line="276" w:lineRule="auto"/>
        <w:rPr>
          <w:rFonts w:cstheme="minorHAnsi"/>
          <w:kern w:val="0"/>
          <w:sz w:val="22"/>
          <w:szCs w:val="22"/>
          <w14:ligatures w14:val="none"/>
        </w:rPr>
        <w:sectPr w:rsidR="00DA1DAD" w:rsidRPr="00DA1DAD" w:rsidSect="00617611">
          <w:footerReference w:type="first" r:id="rId8"/>
          <w:pgSz w:w="12240" w:h="15840"/>
          <w:pgMar w:top="720" w:right="720" w:bottom="540" w:left="720" w:header="720" w:footer="720" w:gutter="0"/>
          <w:pgNumType w:start="0"/>
          <w:cols w:num="2" w:space="720"/>
          <w:titlePg/>
          <w:docGrid w:linePitch="299"/>
        </w:sectPr>
      </w:pPr>
    </w:p>
    <w:p w14:paraId="7C55E265" w14:textId="77777777" w:rsidR="00DA1DAD" w:rsidRPr="00DA1DAD" w:rsidRDefault="00DA1DAD" w:rsidP="00DA1DAD">
      <w:pPr>
        <w:spacing w:line="276" w:lineRule="auto"/>
        <w:jc w:val="both"/>
        <w:rPr>
          <w:rFonts w:ascii="Calibri" w:eastAsia="Times New Roman" w:hAnsi="Calibri" w:cs="Calibri"/>
          <w:kern w:val="0"/>
          <w14:ligatures w14:val="none"/>
        </w:rPr>
      </w:pPr>
      <w:r w:rsidRPr="00DA1DAD">
        <w:rPr>
          <w:rFonts w:ascii="Calibri" w:eastAsia="Times New Roman" w:hAnsi="Calibri" w:cs="Calibri"/>
          <w:kern w:val="0"/>
          <w14:ligatures w14:val="none"/>
        </w:rPr>
        <w:t>Integrated Legal Consultants (ILC) was founded in April 2007, in Accra, Ghana, to offer dedicated and innovative corporate legal services while ensuring that the Ghanaian and West African business community and our network of international clients benefit from the highest quality of corporate and commercial legal services that the Practice provides.</w:t>
      </w:r>
    </w:p>
    <w:p w14:paraId="05DB261F" w14:textId="77777777" w:rsidR="00DA1DAD" w:rsidRPr="00DA1DAD" w:rsidRDefault="00DA1DAD" w:rsidP="00DA1DAD">
      <w:pPr>
        <w:spacing w:after="200" w:line="276" w:lineRule="auto"/>
        <w:jc w:val="both"/>
        <w:rPr>
          <w:rFonts w:ascii="Calibri" w:eastAsia="MS Mincho" w:hAnsi="Calibri" w:cs="Calibri"/>
          <w:kern w:val="0"/>
          <w14:ligatures w14:val="none"/>
        </w:rPr>
      </w:pPr>
      <w:r w:rsidRPr="00DA1DAD">
        <w:rPr>
          <w:rFonts w:ascii="Calibri" w:eastAsia="MS Mincho" w:hAnsi="Calibri" w:cs="Calibri"/>
          <w:kern w:val="0"/>
          <w14:ligatures w14:val="none"/>
        </w:rPr>
        <w:t xml:space="preserve">As part of this vision, the firm has introduced the publication of newsletters on legal and economic issues that would be of interest to clients and equally affect their transactions. This is our </w:t>
      </w:r>
      <w:r w:rsidRPr="00F7415F">
        <w:rPr>
          <w:rFonts w:ascii="Calibri" w:eastAsia="MS Mincho" w:hAnsi="Calibri" w:cs="Calibri"/>
          <w:kern w:val="0"/>
          <w14:ligatures w14:val="none"/>
        </w:rPr>
        <w:t>20</w:t>
      </w:r>
      <w:r w:rsidRPr="00F7415F">
        <w:rPr>
          <w:rFonts w:ascii="Calibri" w:eastAsia="MS Mincho" w:hAnsi="Calibri" w:cs="Calibri"/>
          <w:kern w:val="0"/>
          <w:vertAlign w:val="superscript"/>
          <w14:ligatures w14:val="none"/>
        </w:rPr>
        <w:t>th</w:t>
      </w:r>
      <w:r w:rsidRPr="00F7415F">
        <w:rPr>
          <w:rFonts w:ascii="Calibri" w:eastAsia="MS Mincho" w:hAnsi="Calibri" w:cs="Calibri"/>
          <w:kern w:val="0"/>
          <w14:ligatures w14:val="none"/>
        </w:rPr>
        <w:t xml:space="preserve">  edition.</w:t>
      </w:r>
      <w:r w:rsidRPr="00DA1DAD">
        <w:rPr>
          <w:rFonts w:ascii="Calibri" w:eastAsia="MS Mincho" w:hAnsi="Calibri" w:cs="Calibri"/>
          <w:kern w:val="0"/>
          <w14:ligatures w14:val="none"/>
        </w:rPr>
        <w:t xml:space="preserve"> </w:t>
      </w:r>
    </w:p>
    <w:p w14:paraId="64C24497" w14:textId="77777777" w:rsidR="00DA1DAD" w:rsidRDefault="00DA1DAD" w:rsidP="00DA1DAD">
      <w:pPr>
        <w:tabs>
          <w:tab w:val="left" w:pos="900"/>
        </w:tabs>
        <w:spacing w:line="276" w:lineRule="auto"/>
        <w:jc w:val="both"/>
        <w:rPr>
          <w:rFonts w:ascii="Calibri" w:hAnsi="Calibri" w:cs="Calibri"/>
        </w:rPr>
      </w:pPr>
      <w:r w:rsidRPr="00DA1DAD">
        <w:rPr>
          <w:rFonts w:ascii="Calibri" w:hAnsi="Calibri" w:cs="Calibri"/>
        </w:rPr>
        <w:t xml:space="preserve">In the course of conducting businesses many companies enter into agreements with their foreign partners where they share technical know how, licence intellectual property and other information that aid the licencee to effectively conduct business. </w:t>
      </w:r>
    </w:p>
    <w:p w14:paraId="1DB2A0BD" w14:textId="35151210" w:rsidR="00DA1DAD" w:rsidRPr="00DA1DAD" w:rsidRDefault="00DA1DAD" w:rsidP="00DA1DAD">
      <w:pPr>
        <w:tabs>
          <w:tab w:val="left" w:pos="900"/>
        </w:tabs>
        <w:spacing w:line="276" w:lineRule="auto"/>
        <w:jc w:val="both"/>
        <w:rPr>
          <w:rFonts w:ascii="Calibri" w:hAnsi="Calibri" w:cs="Calibri"/>
        </w:rPr>
      </w:pPr>
      <w:r w:rsidRPr="00DA1DAD">
        <w:rPr>
          <w:rFonts w:ascii="Calibri" w:hAnsi="Calibri" w:cs="Calibri"/>
        </w:rPr>
        <w:t xml:space="preserve">These agreements are referred to as Technology Transfer Agreements (TTAs). The Ghana Investment Promotion Centre (GIPC) is the agency responsible for promoting and encouraging investments in Ghana. </w:t>
      </w:r>
    </w:p>
    <w:p w14:paraId="5FE2E4D1" w14:textId="77777777" w:rsidR="00DA1DAD" w:rsidRPr="00DA1DAD" w:rsidRDefault="00DA1DAD" w:rsidP="00DA1DAD">
      <w:pPr>
        <w:spacing w:after="200" w:line="276" w:lineRule="auto"/>
        <w:jc w:val="both"/>
        <w:rPr>
          <w:rFonts w:ascii="Calibri" w:eastAsia="MS Mincho" w:hAnsi="Calibri" w:cs="Calibri"/>
          <w:color w:val="FF0000"/>
          <w:kern w:val="0"/>
          <w:highlight w:val="yellow"/>
          <w14:ligatures w14:val="none"/>
        </w:rPr>
      </w:pPr>
    </w:p>
    <w:p w14:paraId="1E711E90" w14:textId="77777777" w:rsidR="00DA1DAD" w:rsidRPr="00DA1DAD" w:rsidRDefault="00DA1DAD" w:rsidP="00DA1DAD">
      <w:pPr>
        <w:spacing w:after="200" w:line="276" w:lineRule="auto"/>
        <w:jc w:val="both"/>
        <w:rPr>
          <w:rFonts w:ascii="Calibri" w:eastAsia="MS Mincho" w:hAnsi="Calibri" w:cs="Calibri"/>
          <w:color w:val="FF0000"/>
          <w:kern w:val="0"/>
          <w:highlight w:val="yellow"/>
          <w14:ligatures w14:val="none"/>
        </w:rPr>
      </w:pPr>
    </w:p>
    <w:p w14:paraId="7F838F87" w14:textId="77777777" w:rsidR="00DA1DAD" w:rsidRDefault="00DA1DAD" w:rsidP="00DA1DAD">
      <w:pPr>
        <w:spacing w:after="200" w:line="276" w:lineRule="auto"/>
        <w:jc w:val="both"/>
        <w:rPr>
          <w:rFonts w:ascii="Calibri" w:eastAsia="MS Mincho" w:hAnsi="Calibri" w:cs="Calibri"/>
          <w:color w:val="FF0000"/>
          <w:kern w:val="0"/>
          <w14:ligatures w14:val="none"/>
        </w:rPr>
      </w:pPr>
    </w:p>
    <w:p w14:paraId="1D883FCC" w14:textId="77777777" w:rsidR="00DA1DAD" w:rsidRPr="00DA1DAD" w:rsidRDefault="00DA1DAD" w:rsidP="00DA1DAD">
      <w:pPr>
        <w:spacing w:after="200" w:line="276" w:lineRule="auto"/>
        <w:jc w:val="both"/>
        <w:rPr>
          <w:rFonts w:ascii="Calibri" w:eastAsia="MS Mincho" w:hAnsi="Calibri" w:cs="Calibri"/>
          <w:color w:val="FF0000"/>
          <w:kern w:val="0"/>
          <w14:ligatures w14:val="none"/>
        </w:rPr>
      </w:pPr>
    </w:p>
    <w:p w14:paraId="7C04936A" w14:textId="77777777" w:rsidR="00DA1DAD" w:rsidRPr="00F6084E" w:rsidRDefault="00DA1DAD" w:rsidP="00DA1DAD">
      <w:pPr>
        <w:tabs>
          <w:tab w:val="left" w:pos="900"/>
        </w:tabs>
        <w:spacing w:line="276" w:lineRule="auto"/>
        <w:jc w:val="both"/>
        <w:rPr>
          <w:rFonts w:ascii="Calibri" w:hAnsi="Calibri" w:cs="Calibri"/>
        </w:rPr>
      </w:pPr>
      <w:r w:rsidRPr="00F6084E">
        <w:rPr>
          <w:rFonts w:ascii="Calibri" w:hAnsi="Calibri" w:cs="Calibri"/>
        </w:rPr>
        <w:t xml:space="preserve">According to the Ghana Investment Promotion Centre Act 2013 (Act 865) and the Technology Transfer Regulations 1992 (L.I. 1547), all TTAs must be registered and documented by the GIPC. </w:t>
      </w:r>
    </w:p>
    <w:p w14:paraId="00441DC5" w14:textId="19C77CB8" w:rsidR="00DA1DAD" w:rsidRPr="00DA1DAD" w:rsidRDefault="00DA1DAD" w:rsidP="00DA1DAD">
      <w:pPr>
        <w:spacing w:after="200" w:line="276" w:lineRule="auto"/>
        <w:jc w:val="both"/>
        <w:rPr>
          <w:rFonts w:ascii="Calibri" w:eastAsia="MS Mincho" w:hAnsi="Calibri" w:cs="Calibri"/>
          <w:color w:val="FF0000"/>
          <w:kern w:val="0"/>
          <w14:ligatures w14:val="none"/>
        </w:rPr>
      </w:pPr>
      <w:r w:rsidRPr="00DA1DAD">
        <w:rPr>
          <w:rFonts w:ascii="Calibri" w:eastAsia="MS Mincho" w:hAnsi="Calibri" w:cs="Calibri"/>
          <w:kern w:val="0"/>
          <w14:ligatures w14:val="none"/>
        </w:rPr>
        <w:t>In this issue, we take a look at the Technology Transfer Agreements and the key provisions of Act 865 and L.I 1547 that regulate their reg</w:t>
      </w:r>
      <w:r w:rsidR="006F4DB5">
        <w:rPr>
          <w:rFonts w:ascii="Calibri" w:eastAsia="MS Mincho" w:hAnsi="Calibri" w:cs="Calibri"/>
          <w:kern w:val="0"/>
          <w14:ligatures w14:val="none"/>
        </w:rPr>
        <w:t>istration</w:t>
      </w:r>
      <w:r w:rsidRPr="00DA1DAD">
        <w:rPr>
          <w:rFonts w:ascii="Calibri" w:eastAsia="MS Mincho" w:hAnsi="Calibri" w:cs="Calibri"/>
          <w:kern w:val="0"/>
          <w14:ligatures w14:val="none"/>
        </w:rPr>
        <w:t xml:space="preserve"> by the GIPC in Ghana. </w:t>
      </w:r>
    </w:p>
    <w:p w14:paraId="5036BE5F" w14:textId="77777777" w:rsidR="00DA1DAD" w:rsidRPr="00DA1DAD" w:rsidRDefault="00DA1DAD" w:rsidP="00DA1DAD">
      <w:pPr>
        <w:spacing w:after="200" w:line="276" w:lineRule="auto"/>
        <w:jc w:val="both"/>
        <w:rPr>
          <w:rFonts w:ascii="Calibri" w:eastAsia="MS Mincho" w:hAnsi="Calibri" w:cs="Calibri"/>
          <w:kern w:val="0"/>
          <w14:ligatures w14:val="none"/>
        </w:rPr>
      </w:pPr>
      <w:r w:rsidRPr="00DA1DAD">
        <w:rPr>
          <w:rFonts w:ascii="Calibri" w:eastAsia="MS Mincho" w:hAnsi="Calibri" w:cs="Calibri"/>
          <w:kern w:val="0"/>
          <w14:ligatures w14:val="none"/>
        </w:rPr>
        <w:t xml:space="preserve">We hope you find it informative and educative. Your feedback is welcome. </w:t>
      </w:r>
    </w:p>
    <w:p w14:paraId="5F321801" w14:textId="77777777" w:rsidR="00DA1DAD" w:rsidRPr="00DA1DAD" w:rsidRDefault="00DA1DAD" w:rsidP="00DA1DAD">
      <w:pPr>
        <w:spacing w:after="0" w:line="276" w:lineRule="auto"/>
        <w:rPr>
          <w:rFonts w:ascii="Calibri" w:eastAsia="MS Mincho" w:hAnsi="Calibri" w:cs="Calibri"/>
          <w:i/>
          <w:kern w:val="0"/>
          <w14:ligatures w14:val="none"/>
        </w:rPr>
      </w:pPr>
    </w:p>
    <w:p w14:paraId="1FCFD042" w14:textId="77777777" w:rsidR="00DA1DAD" w:rsidRPr="00DA1DAD" w:rsidRDefault="00DA1DAD" w:rsidP="00DA1DAD">
      <w:pPr>
        <w:spacing w:after="0" w:line="276" w:lineRule="auto"/>
        <w:rPr>
          <w:rFonts w:ascii="Calibri" w:eastAsia="MS Mincho" w:hAnsi="Calibri" w:cs="Calibri"/>
          <w:i/>
          <w:kern w:val="0"/>
          <w14:ligatures w14:val="none"/>
        </w:rPr>
      </w:pPr>
      <w:r w:rsidRPr="00DA1DAD">
        <w:rPr>
          <w:rFonts w:ascii="Calibri" w:eastAsia="MS Mincho" w:hAnsi="Calibri" w:cs="Calibri"/>
          <w:i/>
          <w:kern w:val="0"/>
          <w14:ligatures w14:val="none"/>
        </w:rPr>
        <w:t>Esohe Olajide</w:t>
      </w:r>
    </w:p>
    <w:p w14:paraId="02752B0E" w14:textId="77777777" w:rsidR="00DA1DAD" w:rsidRPr="00DA1DAD" w:rsidRDefault="00DA1DAD" w:rsidP="00DA1DAD">
      <w:pPr>
        <w:spacing w:after="0" w:line="276" w:lineRule="auto"/>
        <w:rPr>
          <w:rFonts w:ascii="Calibri" w:eastAsia="MS Mincho" w:hAnsi="Calibri" w:cs="Calibri"/>
          <w:b/>
          <w:kern w:val="0"/>
          <w14:ligatures w14:val="none"/>
        </w:rPr>
      </w:pPr>
      <w:r w:rsidRPr="00DA1DAD">
        <w:rPr>
          <w:rFonts w:ascii="Calibri" w:eastAsia="MS Mincho" w:hAnsi="Calibri" w:cs="Calibri"/>
          <w:b/>
          <w:kern w:val="0"/>
          <w14:ligatures w14:val="none"/>
        </w:rPr>
        <w:t>Editor</w:t>
      </w:r>
    </w:p>
    <w:p w14:paraId="6401589A" w14:textId="77777777" w:rsidR="00DA1DAD" w:rsidRPr="00DA1DAD" w:rsidRDefault="00DA1DAD" w:rsidP="00DA1DAD">
      <w:pPr>
        <w:spacing w:after="0" w:line="276" w:lineRule="auto"/>
        <w:rPr>
          <w:rFonts w:ascii="Calibri" w:eastAsia="MS Mincho" w:hAnsi="Calibri" w:cs="Calibri"/>
          <w:b/>
          <w:kern w:val="0"/>
          <w14:ligatures w14:val="none"/>
        </w:rPr>
      </w:pPr>
    </w:p>
    <w:p w14:paraId="22B105B5" w14:textId="77777777" w:rsidR="00DA1DAD" w:rsidRPr="00DA1DAD" w:rsidRDefault="00DA1DAD" w:rsidP="00DA1DAD">
      <w:pPr>
        <w:spacing w:after="0" w:line="276" w:lineRule="auto"/>
        <w:rPr>
          <w:rFonts w:ascii="Calibri" w:eastAsia="MS Mincho" w:hAnsi="Calibri" w:cs="Calibri"/>
          <w:i/>
          <w:kern w:val="0"/>
          <w14:ligatures w14:val="none"/>
        </w:rPr>
      </w:pPr>
      <w:r w:rsidRPr="00DA1DAD">
        <w:rPr>
          <w:rFonts w:ascii="Calibri" w:eastAsia="MS Mincho" w:hAnsi="Calibri" w:cs="Calibri"/>
          <w:i/>
          <w:kern w:val="0"/>
          <w14:ligatures w14:val="none"/>
        </w:rPr>
        <w:t>Olusola Ogundimu</w:t>
      </w:r>
    </w:p>
    <w:p w14:paraId="7C34C199" w14:textId="77777777" w:rsidR="00DA1DAD" w:rsidRPr="00DA1DAD" w:rsidRDefault="00DA1DAD" w:rsidP="00DA1DAD">
      <w:pPr>
        <w:spacing w:after="0" w:line="276" w:lineRule="auto"/>
        <w:rPr>
          <w:rFonts w:ascii="Calibri" w:eastAsia="MS Mincho" w:hAnsi="Calibri" w:cs="Calibri"/>
          <w:b/>
          <w:kern w:val="0"/>
          <w14:ligatures w14:val="none"/>
        </w:rPr>
      </w:pPr>
      <w:r w:rsidRPr="00DA1DAD">
        <w:rPr>
          <w:rFonts w:ascii="Calibri" w:eastAsia="MS Mincho" w:hAnsi="Calibri" w:cs="Calibri"/>
          <w:b/>
          <w:kern w:val="0"/>
          <w14:ligatures w14:val="none"/>
        </w:rPr>
        <w:t>Editor-In-Chief</w:t>
      </w:r>
    </w:p>
    <w:p w14:paraId="0EF40A6A" w14:textId="77777777" w:rsidR="00DA1DAD" w:rsidRPr="00DA1DAD" w:rsidRDefault="00DA1DAD" w:rsidP="00DA1DAD">
      <w:pPr>
        <w:spacing w:after="0" w:line="276" w:lineRule="auto"/>
        <w:rPr>
          <w:rFonts w:ascii="Calibri" w:eastAsia="MS Mincho" w:hAnsi="Calibri" w:cs="Calibri"/>
          <w:b/>
          <w:kern w:val="0"/>
          <w14:ligatures w14:val="none"/>
        </w:rPr>
      </w:pPr>
    </w:p>
    <w:p w14:paraId="4340337D" w14:textId="77777777" w:rsidR="00DA1DAD" w:rsidRPr="00DA1DAD" w:rsidRDefault="00DA1DAD" w:rsidP="00DA1DAD">
      <w:pPr>
        <w:spacing w:after="0" w:line="276" w:lineRule="auto"/>
        <w:rPr>
          <w:rFonts w:ascii="Calibri" w:eastAsia="MS Mincho" w:hAnsi="Calibri" w:cs="Calibri"/>
          <w:b/>
          <w:kern w:val="0"/>
          <w14:ligatures w14:val="none"/>
        </w:rPr>
      </w:pPr>
    </w:p>
    <w:p w14:paraId="110417FB" w14:textId="77777777" w:rsidR="00DA1DAD" w:rsidRPr="00DA1DAD" w:rsidRDefault="00DA1DAD" w:rsidP="00DA1DAD">
      <w:pPr>
        <w:spacing w:after="0" w:line="276" w:lineRule="auto"/>
        <w:rPr>
          <w:rFonts w:ascii="Calibri" w:eastAsia="MS Mincho" w:hAnsi="Calibri" w:cs="Calibri"/>
          <w:b/>
          <w:kern w:val="0"/>
          <w14:ligatures w14:val="none"/>
        </w:rPr>
      </w:pPr>
      <w:r w:rsidRPr="00DA1DAD">
        <w:rPr>
          <w:rFonts w:ascii="Calibri" w:hAnsi="Calibri" w:cs="Calibri"/>
          <w:noProof/>
          <w:color w:val="000000"/>
          <w:kern w:val="0"/>
          <w14:ligatures w14:val="none"/>
        </w:rPr>
        <w:drawing>
          <wp:inline distT="0" distB="0" distL="0" distR="0" wp14:anchorId="19BA5DD3" wp14:editId="1DAE1763">
            <wp:extent cx="1299845" cy="613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29936" cy="627610"/>
                    </a:xfrm>
                    <a:prstGeom prst="rect">
                      <a:avLst/>
                    </a:prstGeom>
                    <a:noFill/>
                    <a:ln>
                      <a:noFill/>
                    </a:ln>
                  </pic:spPr>
                </pic:pic>
              </a:graphicData>
            </a:graphic>
          </wp:inline>
        </w:drawing>
      </w:r>
      <w:r w:rsidRPr="00DA1DAD">
        <w:rPr>
          <w:rFonts w:ascii="Calibri" w:eastAsia="MS Mincho" w:hAnsi="Calibri" w:cs="Calibri"/>
          <w:b/>
          <w:kern w:val="0"/>
          <w14:ligatures w14:val="none"/>
        </w:rPr>
        <w:t xml:space="preserve">     </w:t>
      </w:r>
    </w:p>
    <w:p w14:paraId="6518BC4B" w14:textId="77777777" w:rsidR="00DA1DAD" w:rsidRPr="00DA1DAD" w:rsidRDefault="00DA1DAD" w:rsidP="00DA1DAD">
      <w:pPr>
        <w:spacing w:line="276" w:lineRule="auto"/>
        <w:jc w:val="both"/>
        <w:rPr>
          <w:rFonts w:ascii="Calibri" w:eastAsia="Times New Roman" w:hAnsi="Calibri" w:cs="Calibri"/>
          <w:kern w:val="0"/>
          <w14:ligatures w14:val="none"/>
        </w:rPr>
      </w:pPr>
    </w:p>
    <w:p w14:paraId="00FC675C" w14:textId="77777777" w:rsidR="00DA1DAD" w:rsidRPr="00DA1DAD" w:rsidRDefault="00DA1DAD" w:rsidP="00DA1DAD">
      <w:pPr>
        <w:spacing w:line="276" w:lineRule="auto"/>
        <w:jc w:val="both"/>
        <w:rPr>
          <w:rFonts w:ascii="Calibri" w:eastAsia="Times New Roman" w:hAnsi="Calibri" w:cs="Calibri"/>
          <w:kern w:val="0"/>
          <w14:ligatures w14:val="none"/>
        </w:rPr>
      </w:pPr>
    </w:p>
    <w:p w14:paraId="6E15ED4A" w14:textId="77777777" w:rsidR="00DA1DAD" w:rsidRPr="00DA1DAD" w:rsidRDefault="00DA1DAD" w:rsidP="00DA1DAD">
      <w:pPr>
        <w:spacing w:line="276" w:lineRule="auto"/>
        <w:jc w:val="both"/>
        <w:rPr>
          <w:rFonts w:ascii="Calibri" w:eastAsia="Times New Roman" w:hAnsi="Calibri" w:cs="Calibri"/>
          <w:kern w:val="0"/>
          <w14:ligatures w14:val="none"/>
        </w:rPr>
      </w:pPr>
    </w:p>
    <w:p w14:paraId="5A3D2AEA" w14:textId="77777777" w:rsidR="00DA1DAD" w:rsidRPr="00DA1DAD" w:rsidRDefault="00DA1DAD" w:rsidP="00DA1DAD">
      <w:pPr>
        <w:spacing w:line="276" w:lineRule="auto"/>
        <w:jc w:val="both"/>
        <w:rPr>
          <w:rFonts w:ascii="Calibri" w:eastAsia="Times New Roman" w:hAnsi="Calibri" w:cs="Calibri"/>
          <w:kern w:val="0"/>
          <w14:ligatures w14:val="none"/>
        </w:rPr>
      </w:pPr>
    </w:p>
    <w:p w14:paraId="77A44220" w14:textId="77777777" w:rsidR="00DA1DAD" w:rsidRPr="00DA1DAD" w:rsidRDefault="00DA1DAD" w:rsidP="00DA1DAD">
      <w:pPr>
        <w:spacing w:line="276" w:lineRule="auto"/>
        <w:jc w:val="both"/>
        <w:rPr>
          <w:rFonts w:ascii="Calibri" w:eastAsia="Times New Roman" w:hAnsi="Calibri" w:cs="Calibri"/>
          <w:kern w:val="0"/>
          <w14:ligatures w14:val="none"/>
        </w:rPr>
      </w:pPr>
    </w:p>
    <w:p w14:paraId="7389ADC6" w14:textId="77777777" w:rsidR="00DA1DAD" w:rsidRPr="00DA1DAD" w:rsidRDefault="00DA1DAD" w:rsidP="00DA1DAD">
      <w:pPr>
        <w:spacing w:line="276" w:lineRule="auto"/>
        <w:jc w:val="both"/>
        <w:rPr>
          <w:rFonts w:ascii="Calibri" w:eastAsia="Times New Roman" w:hAnsi="Calibri" w:cs="Calibri"/>
          <w:kern w:val="0"/>
          <w14:ligatures w14:val="none"/>
        </w:rPr>
      </w:pPr>
    </w:p>
    <w:p w14:paraId="3A28F3EC" w14:textId="3BAD655E" w:rsidR="00DA1DAD" w:rsidRPr="00DA1DAD" w:rsidRDefault="00DA1DAD" w:rsidP="00DA1DAD">
      <w:pPr>
        <w:tabs>
          <w:tab w:val="left" w:pos="900"/>
        </w:tabs>
        <w:spacing w:line="276" w:lineRule="auto"/>
        <w:jc w:val="both"/>
        <w:rPr>
          <w:rFonts w:ascii="Calibri" w:hAnsi="Calibri" w:cs="Calibri"/>
          <w:b/>
          <w:bCs/>
          <w:sz w:val="22"/>
          <w:szCs w:val="22"/>
        </w:rPr>
      </w:pPr>
      <w:r w:rsidRPr="00DA1DAD">
        <w:rPr>
          <w:rFonts w:ascii="Calibri" w:hAnsi="Calibri" w:cs="Calibri"/>
          <w:b/>
          <w:bCs/>
          <w:sz w:val="22"/>
          <w:szCs w:val="22"/>
        </w:rPr>
        <w:lastRenderedPageBreak/>
        <w:t xml:space="preserve">REGISTRATION OF A TECHNOLOGY TRANSFER AGREEMENT IN GHANA </w:t>
      </w:r>
    </w:p>
    <w:p w14:paraId="6F81944A" w14:textId="77777777" w:rsidR="00DA1DAD" w:rsidRPr="00DA1DAD" w:rsidRDefault="00DA1DAD" w:rsidP="00DA1DAD">
      <w:pPr>
        <w:tabs>
          <w:tab w:val="left" w:pos="900"/>
        </w:tabs>
        <w:spacing w:line="276" w:lineRule="auto"/>
        <w:jc w:val="both"/>
        <w:rPr>
          <w:rFonts w:ascii="Calibri" w:hAnsi="Calibri" w:cs="Calibri"/>
          <w:b/>
          <w:bCs/>
          <w:sz w:val="22"/>
          <w:szCs w:val="22"/>
        </w:rPr>
      </w:pPr>
      <w:r w:rsidRPr="00DA1DAD">
        <w:rPr>
          <w:rFonts w:ascii="Calibri" w:hAnsi="Calibri" w:cs="Calibri"/>
          <w:b/>
          <w:bCs/>
          <w:sz w:val="22"/>
          <w:szCs w:val="22"/>
        </w:rPr>
        <w:t>Introduction</w:t>
      </w:r>
    </w:p>
    <w:p w14:paraId="50227282" w14:textId="38F46556" w:rsidR="00DA1DAD" w:rsidRPr="00DA1DAD" w:rsidRDefault="00DA1DAD" w:rsidP="00DA1DAD">
      <w:pPr>
        <w:tabs>
          <w:tab w:val="left" w:pos="900"/>
        </w:tabs>
        <w:spacing w:line="276" w:lineRule="auto"/>
        <w:jc w:val="both"/>
        <w:rPr>
          <w:rFonts w:ascii="Calibri" w:hAnsi="Calibri" w:cs="Calibri"/>
          <w:sz w:val="22"/>
          <w:szCs w:val="22"/>
        </w:rPr>
      </w:pPr>
      <w:r w:rsidRPr="00DA1DAD">
        <w:rPr>
          <w:rFonts w:ascii="Calibri" w:hAnsi="Calibri" w:cs="Calibri"/>
          <w:sz w:val="22"/>
          <w:szCs w:val="22"/>
        </w:rPr>
        <w:t>In Ghana, a Technology Transfer Agreement (TTA)</w:t>
      </w:r>
      <w:r>
        <w:rPr>
          <w:rFonts w:ascii="Calibri" w:hAnsi="Calibri" w:cs="Calibri"/>
          <w:sz w:val="22"/>
          <w:szCs w:val="22"/>
        </w:rPr>
        <w:t xml:space="preserve"> </w:t>
      </w:r>
      <w:r w:rsidRPr="00DA1DAD">
        <w:rPr>
          <w:rFonts w:ascii="Calibri" w:hAnsi="Calibri" w:cs="Calibri"/>
          <w:sz w:val="22"/>
          <w:szCs w:val="22"/>
        </w:rPr>
        <w:t>is a formal agreement between a Ghanaian company (the transferee) and a foreign company (the transferor) for the transferor to provide specific services to the transferee for a period of at least eighteen (18) months. The transferee pays a fee for these services, and the terms and conditions are outlined in the TTA. The services covered by a TTA include the transfer of technology, industrial property services such as patents and trademarks, "know how," management services, and technical expertise. It is important to note that TTAs only apply to services, not goods. Additionally, this Agreement is relevant to all companies operating in Ghana, regardless of the sector</w:t>
      </w:r>
      <w:r>
        <w:rPr>
          <w:rFonts w:ascii="Calibri" w:hAnsi="Calibri" w:cs="Calibri"/>
          <w:sz w:val="22"/>
          <w:szCs w:val="22"/>
        </w:rPr>
        <w:t>.</w:t>
      </w:r>
    </w:p>
    <w:p w14:paraId="6539E8EF" w14:textId="77777777" w:rsidR="00DA1DAD" w:rsidRPr="00F7415F" w:rsidRDefault="00DA1DAD" w:rsidP="00DA1DAD">
      <w:pPr>
        <w:tabs>
          <w:tab w:val="left" w:pos="900"/>
        </w:tabs>
        <w:spacing w:line="276" w:lineRule="auto"/>
        <w:jc w:val="both"/>
        <w:rPr>
          <w:rFonts w:ascii="Calibri" w:hAnsi="Calibri" w:cs="Calibri"/>
          <w:b/>
          <w:bCs/>
          <w:sz w:val="22"/>
          <w:szCs w:val="22"/>
        </w:rPr>
      </w:pPr>
      <w:r w:rsidRPr="00F7415F">
        <w:rPr>
          <w:rFonts w:ascii="Calibri" w:hAnsi="Calibri" w:cs="Calibri"/>
          <w:b/>
          <w:bCs/>
          <w:sz w:val="22"/>
          <w:szCs w:val="22"/>
        </w:rPr>
        <w:t>Regulation of TTAs in Ghana</w:t>
      </w:r>
    </w:p>
    <w:p w14:paraId="548FD3E5" w14:textId="135A414E" w:rsidR="00DA1DAD" w:rsidRPr="00DA1DAD" w:rsidRDefault="00DA1DAD" w:rsidP="00DA1DAD">
      <w:pPr>
        <w:tabs>
          <w:tab w:val="left" w:pos="900"/>
        </w:tabs>
        <w:spacing w:line="276" w:lineRule="auto"/>
        <w:jc w:val="both"/>
        <w:rPr>
          <w:rFonts w:ascii="Calibri" w:hAnsi="Calibri" w:cs="Calibri"/>
          <w:sz w:val="22"/>
          <w:szCs w:val="22"/>
        </w:rPr>
      </w:pPr>
      <w:r w:rsidRPr="00DA1DAD">
        <w:rPr>
          <w:rFonts w:ascii="Calibri" w:hAnsi="Calibri" w:cs="Calibri"/>
          <w:sz w:val="22"/>
          <w:szCs w:val="22"/>
        </w:rPr>
        <w:t>The Ghana Investment Promotion Centre (GIPC) is responsible for promoting and encouraging investments in Ghana. According to the Ghana Investment Promotion Centre Act</w:t>
      </w:r>
      <w:r>
        <w:rPr>
          <w:rFonts w:ascii="Calibri" w:hAnsi="Calibri" w:cs="Calibri"/>
          <w:sz w:val="22"/>
          <w:szCs w:val="22"/>
        </w:rPr>
        <w:t>,</w:t>
      </w:r>
      <w:r w:rsidRPr="00DA1DAD">
        <w:rPr>
          <w:rFonts w:ascii="Calibri" w:hAnsi="Calibri" w:cs="Calibri"/>
          <w:sz w:val="22"/>
          <w:szCs w:val="22"/>
        </w:rPr>
        <w:t xml:space="preserve"> 2013 (Act 865) and the Technology Transfer Regulations 1992 (L.I. 1547), all TTAs must be registered and documented by the GIPC. </w:t>
      </w:r>
    </w:p>
    <w:p w14:paraId="2CC0DCE6" w14:textId="77777777" w:rsidR="00DA1DAD" w:rsidRPr="00DA1DAD" w:rsidRDefault="00DA1DAD" w:rsidP="00DA1DAD">
      <w:pPr>
        <w:tabs>
          <w:tab w:val="left" w:pos="900"/>
        </w:tabs>
        <w:spacing w:line="276" w:lineRule="auto"/>
        <w:jc w:val="both"/>
        <w:rPr>
          <w:rFonts w:ascii="Calibri" w:hAnsi="Calibri" w:cs="Calibri"/>
          <w:sz w:val="22"/>
          <w:szCs w:val="22"/>
        </w:rPr>
      </w:pPr>
      <w:r w:rsidRPr="00DA1DAD">
        <w:rPr>
          <w:rFonts w:ascii="Calibri" w:hAnsi="Calibri" w:cs="Calibri"/>
          <w:sz w:val="22"/>
          <w:szCs w:val="22"/>
        </w:rPr>
        <w:t xml:space="preserve">Section 37(1) and (2) of Act 865 provides as follows- </w:t>
      </w:r>
    </w:p>
    <w:p w14:paraId="7DE71BD3" w14:textId="77777777" w:rsidR="00DA1DAD" w:rsidRPr="00DA1DAD" w:rsidRDefault="00DA1DAD" w:rsidP="00DA1DAD">
      <w:pPr>
        <w:tabs>
          <w:tab w:val="left" w:pos="900"/>
        </w:tabs>
        <w:spacing w:line="276" w:lineRule="auto"/>
        <w:jc w:val="both"/>
        <w:rPr>
          <w:rFonts w:ascii="Calibri" w:hAnsi="Calibri" w:cs="Calibri"/>
          <w:i/>
          <w:iCs/>
          <w:sz w:val="22"/>
          <w:szCs w:val="22"/>
        </w:rPr>
      </w:pPr>
      <w:r w:rsidRPr="00DA1DAD">
        <w:rPr>
          <w:rFonts w:ascii="Calibri" w:hAnsi="Calibri" w:cs="Calibri"/>
          <w:i/>
          <w:iCs/>
          <w:sz w:val="22"/>
          <w:szCs w:val="22"/>
        </w:rPr>
        <w:t xml:space="preserve">“(1) An enterprise may enter into a technology transfer agreement that the enterprise considers appropriate for the enterprise. </w:t>
      </w:r>
    </w:p>
    <w:p w14:paraId="2623574E" w14:textId="77777777" w:rsidR="00DA1DAD" w:rsidRPr="00DA1DAD" w:rsidRDefault="00DA1DAD" w:rsidP="00DA1DAD">
      <w:pPr>
        <w:tabs>
          <w:tab w:val="left" w:pos="900"/>
        </w:tabs>
        <w:spacing w:line="276" w:lineRule="auto"/>
        <w:jc w:val="both"/>
        <w:rPr>
          <w:rFonts w:ascii="Calibri" w:hAnsi="Calibri" w:cs="Calibri"/>
          <w:i/>
          <w:iCs/>
          <w:sz w:val="22"/>
          <w:szCs w:val="22"/>
        </w:rPr>
      </w:pPr>
      <w:r w:rsidRPr="00DA1DAD">
        <w:rPr>
          <w:rFonts w:ascii="Calibri" w:hAnsi="Calibri" w:cs="Calibri"/>
          <w:i/>
          <w:iCs/>
          <w:sz w:val="22"/>
          <w:szCs w:val="22"/>
        </w:rPr>
        <w:t>(2) A technology transfer agreement entered into under subsection 1 shall be registered with the centre.”</w:t>
      </w:r>
    </w:p>
    <w:p w14:paraId="34D9034F" w14:textId="0887FB0C" w:rsidR="00DA1DAD" w:rsidRPr="00DA1DAD" w:rsidRDefault="00DA1DAD" w:rsidP="00DA1DAD">
      <w:pPr>
        <w:tabs>
          <w:tab w:val="left" w:pos="900"/>
        </w:tabs>
        <w:spacing w:line="276" w:lineRule="auto"/>
        <w:jc w:val="both"/>
        <w:rPr>
          <w:rFonts w:ascii="Calibri" w:hAnsi="Calibri" w:cs="Calibri"/>
          <w:sz w:val="22"/>
          <w:szCs w:val="22"/>
        </w:rPr>
      </w:pPr>
      <w:r w:rsidRPr="00DA1DAD">
        <w:rPr>
          <w:rFonts w:ascii="Calibri" w:hAnsi="Calibri" w:cs="Calibri"/>
          <w:sz w:val="22"/>
          <w:szCs w:val="22"/>
        </w:rPr>
        <w:t xml:space="preserve">This in essence means that an enterprise can enter into a </w:t>
      </w:r>
      <w:r>
        <w:rPr>
          <w:rFonts w:ascii="Calibri" w:hAnsi="Calibri" w:cs="Calibri"/>
          <w:sz w:val="22"/>
          <w:szCs w:val="22"/>
        </w:rPr>
        <w:t>TTA</w:t>
      </w:r>
      <w:r w:rsidRPr="00DA1DAD">
        <w:rPr>
          <w:rFonts w:ascii="Calibri" w:hAnsi="Calibri" w:cs="Calibri"/>
          <w:sz w:val="22"/>
          <w:szCs w:val="22"/>
        </w:rPr>
        <w:t xml:space="preserve"> that is suitable for the enterprise, but it must be registered with the GIPC. </w:t>
      </w:r>
    </w:p>
    <w:p w14:paraId="0460BB7B" w14:textId="2EF3A00D" w:rsidR="00DA1DAD" w:rsidRPr="00DA1DAD" w:rsidRDefault="00DA1DAD" w:rsidP="00DA1DAD">
      <w:pPr>
        <w:tabs>
          <w:tab w:val="left" w:pos="900"/>
        </w:tabs>
        <w:spacing w:line="276" w:lineRule="auto"/>
        <w:jc w:val="both"/>
        <w:rPr>
          <w:rFonts w:ascii="Calibri" w:hAnsi="Calibri" w:cs="Calibri"/>
          <w:sz w:val="22"/>
          <w:szCs w:val="22"/>
        </w:rPr>
      </w:pPr>
      <w:r w:rsidRPr="00DA1DAD">
        <w:rPr>
          <w:rFonts w:ascii="Calibri" w:hAnsi="Calibri" w:cs="Calibri"/>
          <w:sz w:val="22"/>
          <w:szCs w:val="22"/>
        </w:rPr>
        <w:t xml:space="preserve">Similarly, Regulation 1 of LI 1547 requires that all </w:t>
      </w:r>
      <w:r>
        <w:rPr>
          <w:rFonts w:ascii="Calibri" w:hAnsi="Calibri" w:cs="Calibri"/>
          <w:sz w:val="22"/>
          <w:szCs w:val="22"/>
        </w:rPr>
        <w:t>TTAs</w:t>
      </w:r>
      <w:r w:rsidRPr="00DA1DAD">
        <w:rPr>
          <w:rFonts w:ascii="Calibri" w:hAnsi="Calibri" w:cs="Calibri"/>
          <w:sz w:val="22"/>
          <w:szCs w:val="22"/>
        </w:rPr>
        <w:t xml:space="preserve"> made under the </w:t>
      </w:r>
      <w:r>
        <w:rPr>
          <w:rFonts w:ascii="Calibri" w:hAnsi="Calibri" w:cs="Calibri"/>
          <w:sz w:val="22"/>
          <w:szCs w:val="22"/>
        </w:rPr>
        <w:t>C</w:t>
      </w:r>
      <w:r w:rsidRPr="00DA1DAD">
        <w:rPr>
          <w:rFonts w:ascii="Calibri" w:hAnsi="Calibri" w:cs="Calibri"/>
          <w:sz w:val="22"/>
          <w:szCs w:val="22"/>
        </w:rPr>
        <w:t xml:space="preserve">ode or </w:t>
      </w:r>
      <w:r>
        <w:rPr>
          <w:rFonts w:ascii="Calibri" w:hAnsi="Calibri" w:cs="Calibri"/>
          <w:sz w:val="22"/>
          <w:szCs w:val="22"/>
        </w:rPr>
        <w:t>R</w:t>
      </w:r>
      <w:r w:rsidRPr="00DA1DAD">
        <w:rPr>
          <w:rFonts w:ascii="Calibri" w:hAnsi="Calibri" w:cs="Calibri"/>
          <w:sz w:val="22"/>
          <w:szCs w:val="22"/>
        </w:rPr>
        <w:t>egulations be registered with the Ghana Investments Centre.</w:t>
      </w:r>
    </w:p>
    <w:p w14:paraId="3674B269" w14:textId="534FE12C" w:rsidR="00DA1DAD" w:rsidRPr="00DA1DAD" w:rsidRDefault="00DA1DAD" w:rsidP="00DA1DAD">
      <w:pPr>
        <w:tabs>
          <w:tab w:val="left" w:pos="900"/>
        </w:tabs>
        <w:spacing w:line="276" w:lineRule="auto"/>
        <w:jc w:val="both"/>
        <w:rPr>
          <w:rFonts w:ascii="Calibri" w:hAnsi="Calibri" w:cs="Calibri"/>
          <w:b/>
          <w:bCs/>
          <w:sz w:val="22"/>
          <w:szCs w:val="22"/>
        </w:rPr>
      </w:pPr>
      <w:r w:rsidRPr="00DA1DAD">
        <w:rPr>
          <w:rFonts w:ascii="Calibri" w:hAnsi="Calibri" w:cs="Calibri"/>
          <w:b/>
          <w:bCs/>
          <w:sz w:val="22"/>
          <w:szCs w:val="22"/>
        </w:rPr>
        <w:t>Role of the GIPC in Registering a TTA</w:t>
      </w:r>
    </w:p>
    <w:p w14:paraId="35ED2888" w14:textId="77777777" w:rsidR="00DA1DAD" w:rsidRPr="00DA1DAD" w:rsidRDefault="00DA1DAD" w:rsidP="00DA1DAD">
      <w:pPr>
        <w:spacing w:after="0" w:line="276" w:lineRule="auto"/>
        <w:jc w:val="both"/>
        <w:rPr>
          <w:rFonts w:ascii="Calibri" w:eastAsia="Times New Roman" w:hAnsi="Calibri" w:cs="Calibri"/>
          <w:kern w:val="0"/>
          <w:sz w:val="22"/>
          <w:szCs w:val="22"/>
          <w14:ligatures w14:val="none"/>
        </w:rPr>
      </w:pPr>
      <w:r w:rsidRPr="00DA1DAD">
        <w:rPr>
          <w:rFonts w:ascii="Calibri" w:eastAsia="Times New Roman" w:hAnsi="Calibri" w:cs="Calibri"/>
          <w:kern w:val="0"/>
          <w:sz w:val="22"/>
          <w:szCs w:val="22"/>
          <w14:ligatures w14:val="none"/>
        </w:rPr>
        <w:t>The Ghana Investment Promotion Centre (GIPC) is an essential regulatory body entrusted with pivotal responsibilities in the registration of TTAs. The GIPC's role encompasses the following key duties which are:</w:t>
      </w:r>
    </w:p>
    <w:p w14:paraId="6638C0B2" w14:textId="77777777" w:rsidR="00DA1DAD" w:rsidRPr="00DA1DAD" w:rsidRDefault="00DA1DAD" w:rsidP="00DA1DAD">
      <w:pPr>
        <w:spacing w:after="0" w:line="276" w:lineRule="auto"/>
        <w:ind w:left="720" w:hanging="675"/>
        <w:jc w:val="both"/>
        <w:rPr>
          <w:rFonts w:ascii="Calibri" w:eastAsia="Times New Roman" w:hAnsi="Calibri" w:cs="Calibri"/>
          <w:kern w:val="0"/>
          <w:sz w:val="22"/>
          <w:szCs w:val="22"/>
          <w14:ligatures w14:val="none"/>
        </w:rPr>
      </w:pPr>
      <w:r w:rsidRPr="00DA1DAD">
        <w:rPr>
          <w:rFonts w:ascii="Calibri" w:eastAsia="Times New Roman" w:hAnsi="Calibri" w:cs="Calibri"/>
          <w:kern w:val="0"/>
          <w:sz w:val="22"/>
          <w:szCs w:val="22"/>
          <w14:ligatures w14:val="none"/>
        </w:rPr>
        <w:t xml:space="preserve">1. </w:t>
      </w:r>
      <w:r w:rsidRPr="00DA1DAD">
        <w:rPr>
          <w:rFonts w:ascii="Calibri" w:eastAsia="Times New Roman" w:hAnsi="Calibri" w:cs="Calibri"/>
          <w:kern w:val="0"/>
          <w:sz w:val="22"/>
          <w:szCs w:val="22"/>
          <w14:ligatures w14:val="none"/>
        </w:rPr>
        <w:tab/>
      </w:r>
      <w:r w:rsidRPr="00DA1DAD">
        <w:rPr>
          <w:rFonts w:ascii="Calibri" w:eastAsia="Times New Roman" w:hAnsi="Calibri" w:cs="Calibri"/>
          <w:b/>
          <w:bCs/>
          <w:kern w:val="0"/>
          <w:sz w:val="22"/>
          <w:szCs w:val="22"/>
          <w14:ligatures w14:val="none"/>
        </w:rPr>
        <w:t>Registration and Maintenance of TTA Records</w:t>
      </w:r>
      <w:r w:rsidRPr="00DA1DAD">
        <w:rPr>
          <w:rFonts w:ascii="Calibri" w:eastAsia="Times New Roman" w:hAnsi="Calibri" w:cs="Calibri"/>
          <w:kern w:val="0"/>
          <w:sz w:val="22"/>
          <w:szCs w:val="22"/>
          <w14:ligatures w14:val="none"/>
        </w:rPr>
        <w:t xml:space="preserve">: The GIPC is responsible for the registration and upkeep of records of TTAs in accordance with Section 4, 37 (2) &amp; (3) of Act 865. This involves meticulously recording the details of all TTAs, ensuring transparency and accountability in the process. </w:t>
      </w:r>
    </w:p>
    <w:p w14:paraId="2A455DF5" w14:textId="77777777" w:rsidR="00DA1DAD" w:rsidRPr="00DA1DAD" w:rsidRDefault="00DA1DAD" w:rsidP="00DA1DAD">
      <w:pPr>
        <w:spacing w:after="0" w:line="276" w:lineRule="auto"/>
        <w:jc w:val="both"/>
        <w:rPr>
          <w:rFonts w:ascii="Calibri" w:eastAsia="Times New Roman" w:hAnsi="Calibri" w:cs="Calibri"/>
          <w:kern w:val="0"/>
          <w:sz w:val="22"/>
          <w:szCs w:val="22"/>
          <w14:ligatures w14:val="none"/>
        </w:rPr>
      </w:pPr>
    </w:p>
    <w:p w14:paraId="42324C0E" w14:textId="77777777" w:rsidR="00DA1DAD" w:rsidRPr="00DA1DAD" w:rsidRDefault="00DA1DAD" w:rsidP="00DA1DAD">
      <w:pPr>
        <w:spacing w:after="0" w:line="276" w:lineRule="auto"/>
        <w:ind w:left="720" w:hanging="720"/>
        <w:jc w:val="both"/>
        <w:rPr>
          <w:rFonts w:ascii="Calibri" w:eastAsia="Times New Roman" w:hAnsi="Calibri" w:cs="Calibri"/>
          <w:kern w:val="0"/>
          <w:sz w:val="22"/>
          <w:szCs w:val="22"/>
          <w14:ligatures w14:val="none"/>
        </w:rPr>
      </w:pPr>
      <w:r w:rsidRPr="00DA1DAD">
        <w:rPr>
          <w:rFonts w:ascii="Calibri" w:eastAsia="Times New Roman" w:hAnsi="Calibri" w:cs="Calibri"/>
          <w:kern w:val="0"/>
          <w:sz w:val="22"/>
          <w:szCs w:val="22"/>
          <w14:ligatures w14:val="none"/>
        </w:rPr>
        <w:t xml:space="preserve">2. </w:t>
      </w:r>
      <w:r w:rsidRPr="00DA1DAD">
        <w:rPr>
          <w:rFonts w:ascii="Calibri" w:eastAsia="Times New Roman" w:hAnsi="Calibri" w:cs="Calibri"/>
          <w:kern w:val="0"/>
          <w:sz w:val="22"/>
          <w:szCs w:val="22"/>
          <w14:ligatures w14:val="none"/>
        </w:rPr>
        <w:tab/>
      </w:r>
      <w:r w:rsidRPr="00DA1DAD">
        <w:rPr>
          <w:rFonts w:ascii="Calibri" w:eastAsia="Times New Roman" w:hAnsi="Calibri" w:cs="Calibri"/>
          <w:b/>
          <w:bCs/>
          <w:kern w:val="0"/>
          <w:sz w:val="22"/>
          <w:szCs w:val="22"/>
          <w14:ligatures w14:val="none"/>
        </w:rPr>
        <w:t>Monitoring for Compliance</w:t>
      </w:r>
      <w:r w:rsidRPr="00DA1DAD">
        <w:rPr>
          <w:rFonts w:ascii="Calibri" w:eastAsia="Times New Roman" w:hAnsi="Calibri" w:cs="Calibri"/>
          <w:kern w:val="0"/>
          <w:sz w:val="22"/>
          <w:szCs w:val="22"/>
          <w14:ligatures w14:val="none"/>
        </w:rPr>
        <w:t xml:space="preserve">: Following the registration of TTAs, the GIPC diligently monitors these Agreements to ensure compliance with the stipulated regulations, as outlined in Section 37 (4) (b). By undertaking this oversight role, the GIPC upholds the integrity of TTAs and safeguards the interests of all involved parties. </w:t>
      </w:r>
    </w:p>
    <w:p w14:paraId="1E9C9CF0" w14:textId="77777777" w:rsidR="00DA1DAD" w:rsidRPr="00DA1DAD" w:rsidRDefault="00DA1DAD" w:rsidP="00DA1DAD">
      <w:pPr>
        <w:spacing w:after="0" w:line="276" w:lineRule="auto"/>
        <w:jc w:val="both"/>
        <w:rPr>
          <w:rFonts w:ascii="Calibri" w:eastAsia="Times New Roman" w:hAnsi="Calibri" w:cs="Calibri"/>
          <w:kern w:val="0"/>
          <w:sz w:val="22"/>
          <w:szCs w:val="22"/>
          <w14:ligatures w14:val="none"/>
        </w:rPr>
      </w:pPr>
    </w:p>
    <w:p w14:paraId="793D7395" w14:textId="77777777" w:rsidR="00DA1DAD" w:rsidRPr="00DA1DAD" w:rsidRDefault="00DA1DAD" w:rsidP="00DA1DAD">
      <w:pPr>
        <w:spacing w:after="0" w:line="276" w:lineRule="auto"/>
        <w:ind w:left="720" w:hanging="720"/>
        <w:jc w:val="both"/>
        <w:rPr>
          <w:rFonts w:ascii="Calibri" w:eastAsia="Times New Roman" w:hAnsi="Calibri" w:cs="Calibri"/>
          <w:kern w:val="0"/>
          <w:sz w:val="22"/>
          <w:szCs w:val="22"/>
          <w14:ligatures w14:val="none"/>
        </w:rPr>
      </w:pPr>
      <w:r w:rsidRPr="00DA1DAD">
        <w:rPr>
          <w:rFonts w:ascii="Calibri" w:eastAsia="Times New Roman" w:hAnsi="Calibri" w:cs="Calibri"/>
          <w:kern w:val="0"/>
          <w:sz w:val="22"/>
          <w:szCs w:val="22"/>
          <w14:ligatures w14:val="none"/>
        </w:rPr>
        <w:t xml:space="preserve">3. </w:t>
      </w:r>
      <w:r w:rsidRPr="00DA1DAD">
        <w:rPr>
          <w:rFonts w:ascii="Calibri" w:eastAsia="Times New Roman" w:hAnsi="Calibri" w:cs="Calibri"/>
          <w:kern w:val="0"/>
          <w:sz w:val="22"/>
          <w:szCs w:val="22"/>
          <w14:ligatures w14:val="none"/>
        </w:rPr>
        <w:tab/>
      </w:r>
      <w:r w:rsidRPr="00DA1DAD">
        <w:rPr>
          <w:rFonts w:ascii="Calibri" w:eastAsia="Times New Roman" w:hAnsi="Calibri" w:cs="Calibri"/>
          <w:b/>
          <w:bCs/>
          <w:kern w:val="0"/>
          <w:sz w:val="22"/>
          <w:szCs w:val="22"/>
          <w14:ligatures w14:val="none"/>
        </w:rPr>
        <w:t>TTA Registration Renewals</w:t>
      </w:r>
      <w:r w:rsidRPr="00DA1DAD">
        <w:rPr>
          <w:rFonts w:ascii="Calibri" w:eastAsia="Times New Roman" w:hAnsi="Calibri" w:cs="Calibri"/>
          <w:kern w:val="0"/>
          <w:sz w:val="22"/>
          <w:szCs w:val="22"/>
          <w14:ligatures w14:val="none"/>
        </w:rPr>
        <w:t xml:space="preserve">: The GIPC is mandated to oversee the renewal of TTA registrations, as specified in Section 37 (7) of Act 865. This renewal process ensures that TTAs remain valid and relevant, thereby promoting the continued efficacy of these Agreements. </w:t>
      </w:r>
    </w:p>
    <w:p w14:paraId="45881783" w14:textId="77777777" w:rsidR="00DA1DAD" w:rsidRPr="00DA1DAD" w:rsidRDefault="00DA1DAD" w:rsidP="00DA1DAD">
      <w:pPr>
        <w:spacing w:after="0" w:line="276" w:lineRule="auto"/>
        <w:ind w:left="720" w:hanging="720"/>
        <w:jc w:val="both"/>
        <w:rPr>
          <w:rFonts w:ascii="Calibri" w:eastAsia="Times New Roman" w:hAnsi="Calibri" w:cs="Calibri"/>
          <w:kern w:val="0"/>
          <w:sz w:val="22"/>
          <w:szCs w:val="22"/>
          <w14:ligatures w14:val="none"/>
        </w:rPr>
      </w:pPr>
    </w:p>
    <w:p w14:paraId="10FAC426" w14:textId="77777777" w:rsidR="00DA1DAD" w:rsidRPr="00DA1DAD" w:rsidRDefault="00DA1DAD" w:rsidP="00DA1DAD">
      <w:pPr>
        <w:spacing w:after="0" w:line="276" w:lineRule="auto"/>
        <w:ind w:left="720" w:hanging="720"/>
        <w:jc w:val="both"/>
        <w:rPr>
          <w:rFonts w:ascii="Calibri" w:eastAsia="Times New Roman" w:hAnsi="Calibri" w:cs="Calibri"/>
          <w:kern w:val="0"/>
          <w:sz w:val="22"/>
          <w:szCs w:val="22"/>
          <w14:ligatures w14:val="none"/>
        </w:rPr>
      </w:pPr>
      <w:r w:rsidRPr="00DA1DAD">
        <w:rPr>
          <w:rFonts w:ascii="Calibri" w:eastAsia="Times New Roman" w:hAnsi="Calibri" w:cs="Calibri"/>
          <w:kern w:val="0"/>
          <w:sz w:val="22"/>
          <w:szCs w:val="22"/>
          <w14:ligatures w14:val="none"/>
        </w:rPr>
        <w:t xml:space="preserve">4. </w:t>
      </w:r>
      <w:r w:rsidRPr="00DA1DAD">
        <w:rPr>
          <w:rFonts w:ascii="Calibri" w:eastAsia="Times New Roman" w:hAnsi="Calibri" w:cs="Calibri"/>
          <w:kern w:val="0"/>
          <w:sz w:val="22"/>
          <w:szCs w:val="22"/>
          <w14:ligatures w14:val="none"/>
        </w:rPr>
        <w:tab/>
      </w:r>
      <w:r w:rsidRPr="00DA1DAD">
        <w:rPr>
          <w:rFonts w:ascii="Calibri" w:eastAsia="Times New Roman" w:hAnsi="Calibri" w:cs="Calibri"/>
          <w:b/>
          <w:bCs/>
          <w:kern w:val="0"/>
          <w:sz w:val="22"/>
          <w:szCs w:val="22"/>
          <w14:ligatures w14:val="none"/>
        </w:rPr>
        <w:t>Pre-Registration Review of TTAs:</w:t>
      </w:r>
      <w:r w:rsidRPr="00DA1DAD">
        <w:rPr>
          <w:rFonts w:ascii="Calibri" w:eastAsia="Times New Roman" w:hAnsi="Calibri" w:cs="Calibri"/>
          <w:kern w:val="0"/>
          <w:sz w:val="22"/>
          <w:szCs w:val="22"/>
          <w14:ligatures w14:val="none"/>
        </w:rPr>
        <w:t xml:space="preserve"> Prior to registration, the GIPC conducts comprehensive reviews of TTAs in line with Section 37 (4) (a). This critical assessment ensures that TTAs meet the necessary criteria and adhere to regulatory standards before formal registration. </w:t>
      </w:r>
    </w:p>
    <w:p w14:paraId="7F43AB2F" w14:textId="77777777" w:rsidR="00DA1DAD" w:rsidRPr="00DA1DAD" w:rsidRDefault="00DA1DAD" w:rsidP="00DA1DAD">
      <w:pPr>
        <w:spacing w:after="0" w:line="276" w:lineRule="auto"/>
        <w:ind w:left="720" w:hanging="720"/>
        <w:jc w:val="both"/>
        <w:rPr>
          <w:rFonts w:ascii="Calibri" w:eastAsia="Times New Roman" w:hAnsi="Calibri" w:cs="Calibri"/>
          <w:kern w:val="0"/>
          <w:sz w:val="22"/>
          <w:szCs w:val="22"/>
          <w14:ligatures w14:val="none"/>
        </w:rPr>
      </w:pPr>
    </w:p>
    <w:p w14:paraId="620B31EB" w14:textId="77777777" w:rsidR="00DA1DAD" w:rsidRDefault="00DA1DAD" w:rsidP="00DA1DAD">
      <w:pPr>
        <w:spacing w:after="0" w:line="276" w:lineRule="auto"/>
        <w:jc w:val="both"/>
        <w:rPr>
          <w:rFonts w:ascii="Calibri" w:eastAsia="Times New Roman" w:hAnsi="Calibri" w:cs="Calibri"/>
          <w:kern w:val="0"/>
          <w:sz w:val="22"/>
          <w:szCs w:val="22"/>
          <w14:ligatures w14:val="none"/>
        </w:rPr>
      </w:pPr>
      <w:r w:rsidRPr="00DA1DAD">
        <w:rPr>
          <w:rFonts w:ascii="Calibri" w:eastAsia="Times New Roman" w:hAnsi="Calibri" w:cs="Calibri"/>
          <w:kern w:val="0"/>
          <w:sz w:val="22"/>
          <w:szCs w:val="22"/>
          <w14:ligatures w14:val="none"/>
        </w:rPr>
        <w:lastRenderedPageBreak/>
        <w:t>In fulfilling these responsibilities, the GIPC plays a vital role in promoting a conducive environment for technology transfer and supporting the growth of businesses through effective TTA regulation.</w:t>
      </w:r>
    </w:p>
    <w:p w14:paraId="72944EF4" w14:textId="77777777" w:rsidR="00C706CB" w:rsidRDefault="00C706CB" w:rsidP="00DA1DAD">
      <w:pPr>
        <w:spacing w:after="0" w:line="276" w:lineRule="auto"/>
        <w:jc w:val="both"/>
        <w:rPr>
          <w:rFonts w:ascii="Calibri" w:eastAsia="Times New Roman" w:hAnsi="Calibri" w:cs="Calibri"/>
          <w:kern w:val="0"/>
          <w:sz w:val="22"/>
          <w:szCs w:val="22"/>
          <w14:ligatures w14:val="none"/>
        </w:rPr>
      </w:pPr>
    </w:p>
    <w:p w14:paraId="7E2857B1" w14:textId="7C7B1B52" w:rsidR="00C706CB" w:rsidRPr="00DA1DAD" w:rsidRDefault="00C706CB" w:rsidP="00DA1DAD">
      <w:pPr>
        <w:spacing w:after="0" w:line="276" w:lineRule="auto"/>
        <w:jc w:val="both"/>
        <w:rPr>
          <w:rFonts w:ascii="Calibri" w:eastAsia="Times New Roman" w:hAnsi="Calibri" w:cs="Calibri"/>
          <w:kern w:val="0"/>
          <w:sz w:val="22"/>
          <w:szCs w:val="22"/>
          <w14:ligatures w14:val="none"/>
        </w:rPr>
      </w:pPr>
      <w:r>
        <w:rPr>
          <w:noProof/>
        </w:rPr>
        <w:drawing>
          <wp:inline distT="0" distB="0" distL="0" distR="0" wp14:anchorId="477A0197" wp14:editId="787C6A95">
            <wp:extent cx="3200400" cy="1920240"/>
            <wp:effectExtent l="0" t="0" r="0" b="3810"/>
            <wp:docPr id="2074535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920240"/>
                    </a:xfrm>
                    <a:prstGeom prst="rect">
                      <a:avLst/>
                    </a:prstGeom>
                    <a:noFill/>
                    <a:ln>
                      <a:noFill/>
                    </a:ln>
                  </pic:spPr>
                </pic:pic>
              </a:graphicData>
            </a:graphic>
          </wp:inline>
        </w:drawing>
      </w:r>
    </w:p>
    <w:p w14:paraId="363F34BE" w14:textId="77777777" w:rsidR="006F4DB5" w:rsidRPr="00F7415F" w:rsidRDefault="006F4DB5" w:rsidP="00DA1DAD">
      <w:pPr>
        <w:tabs>
          <w:tab w:val="left" w:pos="900"/>
        </w:tabs>
        <w:spacing w:line="276" w:lineRule="auto"/>
        <w:jc w:val="both"/>
        <w:rPr>
          <w:rFonts w:ascii="Calibri" w:hAnsi="Calibri" w:cs="Calibri"/>
          <w:b/>
          <w:bCs/>
          <w:sz w:val="16"/>
          <w:szCs w:val="16"/>
        </w:rPr>
      </w:pPr>
    </w:p>
    <w:p w14:paraId="618D13AE" w14:textId="4DD9C3F4" w:rsidR="00DA1DAD" w:rsidRPr="00DA1DAD" w:rsidRDefault="00DA1DAD" w:rsidP="00DA1DAD">
      <w:pPr>
        <w:tabs>
          <w:tab w:val="left" w:pos="900"/>
        </w:tabs>
        <w:spacing w:line="276" w:lineRule="auto"/>
        <w:jc w:val="both"/>
        <w:rPr>
          <w:rFonts w:ascii="Calibri" w:hAnsi="Calibri" w:cs="Calibri"/>
          <w:b/>
          <w:bCs/>
          <w:sz w:val="22"/>
          <w:szCs w:val="22"/>
        </w:rPr>
      </w:pPr>
      <w:r w:rsidRPr="00DA1DAD">
        <w:rPr>
          <w:rFonts w:ascii="Calibri" w:hAnsi="Calibri" w:cs="Calibri"/>
          <w:b/>
          <w:bCs/>
          <w:sz w:val="22"/>
          <w:szCs w:val="22"/>
        </w:rPr>
        <w:t>Categories of TTA</w:t>
      </w:r>
    </w:p>
    <w:p w14:paraId="7C38D9D1" w14:textId="77777777" w:rsidR="00DA1DAD" w:rsidRPr="00DA1DAD" w:rsidRDefault="00DA1DAD" w:rsidP="00DA1DAD">
      <w:pPr>
        <w:tabs>
          <w:tab w:val="left" w:pos="900"/>
        </w:tabs>
        <w:spacing w:line="276" w:lineRule="auto"/>
        <w:jc w:val="both"/>
        <w:rPr>
          <w:rFonts w:ascii="Calibri" w:hAnsi="Calibri" w:cs="Calibri"/>
          <w:sz w:val="22"/>
          <w:szCs w:val="22"/>
        </w:rPr>
      </w:pPr>
      <w:r w:rsidRPr="00DA1DAD">
        <w:rPr>
          <w:rFonts w:ascii="Calibri" w:hAnsi="Calibri" w:cs="Calibri"/>
          <w:sz w:val="22"/>
          <w:szCs w:val="22"/>
        </w:rPr>
        <w:t xml:space="preserve">The categorization of TTA in Act 865 encompasses four primary categories: </w:t>
      </w:r>
    </w:p>
    <w:p w14:paraId="2C091E70" w14:textId="77777777" w:rsidR="00DA1DAD" w:rsidRPr="00DA1DAD" w:rsidRDefault="00DA1DAD" w:rsidP="00DA1DAD">
      <w:pPr>
        <w:tabs>
          <w:tab w:val="left" w:pos="900"/>
        </w:tabs>
        <w:spacing w:line="276" w:lineRule="auto"/>
        <w:ind w:left="720" w:hanging="720"/>
        <w:jc w:val="both"/>
        <w:rPr>
          <w:rFonts w:ascii="Calibri" w:hAnsi="Calibri" w:cs="Calibri"/>
          <w:sz w:val="22"/>
          <w:szCs w:val="22"/>
        </w:rPr>
      </w:pPr>
      <w:r w:rsidRPr="00DA1DAD">
        <w:rPr>
          <w:rFonts w:ascii="Calibri" w:hAnsi="Calibri" w:cs="Calibri"/>
          <w:sz w:val="22"/>
          <w:szCs w:val="22"/>
        </w:rPr>
        <w:t xml:space="preserve">1. </w:t>
      </w:r>
      <w:r w:rsidRPr="00DA1DAD">
        <w:rPr>
          <w:rFonts w:ascii="Calibri" w:hAnsi="Calibri" w:cs="Calibri"/>
          <w:sz w:val="22"/>
          <w:szCs w:val="22"/>
        </w:rPr>
        <w:tab/>
        <w:t xml:space="preserve">Agreements covering Industrial Property Rights: This category involves the assignment, sale, and licensing of various forms of industrial property, including trademarks, trade names, service marks, and patents. </w:t>
      </w:r>
    </w:p>
    <w:p w14:paraId="74E17DBC" w14:textId="77777777" w:rsidR="00DA1DAD" w:rsidRPr="00DA1DAD" w:rsidRDefault="00DA1DAD" w:rsidP="00DA1DAD">
      <w:pPr>
        <w:tabs>
          <w:tab w:val="left" w:pos="900"/>
        </w:tabs>
        <w:spacing w:line="276" w:lineRule="auto"/>
        <w:ind w:left="720" w:hanging="720"/>
        <w:jc w:val="both"/>
        <w:rPr>
          <w:rFonts w:ascii="Calibri" w:hAnsi="Calibri" w:cs="Calibri"/>
          <w:sz w:val="22"/>
          <w:szCs w:val="22"/>
        </w:rPr>
      </w:pPr>
      <w:r w:rsidRPr="00DA1DAD">
        <w:rPr>
          <w:rFonts w:ascii="Calibri" w:hAnsi="Calibri" w:cs="Calibri"/>
          <w:sz w:val="22"/>
          <w:szCs w:val="22"/>
        </w:rPr>
        <w:t>2.</w:t>
      </w:r>
      <w:r w:rsidRPr="00DA1DAD">
        <w:rPr>
          <w:rFonts w:ascii="Calibri" w:hAnsi="Calibri" w:cs="Calibri"/>
          <w:sz w:val="22"/>
          <w:szCs w:val="22"/>
        </w:rPr>
        <w:tab/>
        <w:t xml:space="preserve"> Agreements for the provision of Technical Services/Assistance: This category pertains to the provision of technical expertise and advisory services, such as HR, audit, and legal support. </w:t>
      </w:r>
    </w:p>
    <w:p w14:paraId="09A18757" w14:textId="3A7E35A4" w:rsidR="00DA1DAD" w:rsidRPr="00DA1DAD" w:rsidRDefault="00DA1DAD" w:rsidP="00DA1DAD">
      <w:pPr>
        <w:tabs>
          <w:tab w:val="left" w:pos="900"/>
        </w:tabs>
        <w:spacing w:line="276" w:lineRule="auto"/>
        <w:ind w:left="720" w:hanging="720"/>
        <w:jc w:val="both"/>
        <w:rPr>
          <w:rFonts w:ascii="Calibri" w:hAnsi="Calibri" w:cs="Calibri"/>
          <w:sz w:val="22"/>
          <w:szCs w:val="22"/>
        </w:rPr>
      </w:pPr>
      <w:r w:rsidRPr="00DA1DAD">
        <w:rPr>
          <w:rFonts w:ascii="Calibri" w:hAnsi="Calibri" w:cs="Calibri"/>
          <w:sz w:val="22"/>
          <w:szCs w:val="22"/>
        </w:rPr>
        <w:t xml:space="preserve">3. </w:t>
      </w:r>
      <w:r w:rsidRPr="00DA1DAD">
        <w:rPr>
          <w:rFonts w:ascii="Calibri" w:hAnsi="Calibri" w:cs="Calibri"/>
          <w:sz w:val="22"/>
          <w:szCs w:val="22"/>
        </w:rPr>
        <w:tab/>
        <w:t>Agreements covering the transfer of "Know-How"</w:t>
      </w:r>
      <w:r w:rsidR="006F4DB5">
        <w:rPr>
          <w:rFonts w:ascii="Calibri" w:hAnsi="Calibri" w:cs="Calibri"/>
          <w:sz w:val="22"/>
          <w:szCs w:val="22"/>
        </w:rPr>
        <w:t xml:space="preserve">: </w:t>
      </w:r>
      <w:r w:rsidRPr="00DA1DAD">
        <w:rPr>
          <w:rFonts w:ascii="Calibri" w:hAnsi="Calibri" w:cs="Calibri"/>
          <w:sz w:val="22"/>
          <w:szCs w:val="22"/>
        </w:rPr>
        <w:t xml:space="preserve">This category encompasses the transfer of technological knowledge for the use of machinery, equipment, or raw materials. </w:t>
      </w:r>
    </w:p>
    <w:p w14:paraId="14D1D9C4" w14:textId="77777777" w:rsidR="00DA1DAD" w:rsidRPr="00DA1DAD" w:rsidRDefault="00DA1DAD" w:rsidP="00DA1DAD">
      <w:pPr>
        <w:tabs>
          <w:tab w:val="left" w:pos="900"/>
        </w:tabs>
        <w:spacing w:line="276" w:lineRule="auto"/>
        <w:ind w:left="720" w:hanging="720"/>
        <w:jc w:val="both"/>
        <w:rPr>
          <w:rFonts w:ascii="Calibri" w:hAnsi="Calibri" w:cs="Calibri"/>
          <w:sz w:val="22"/>
          <w:szCs w:val="22"/>
        </w:rPr>
      </w:pPr>
      <w:r w:rsidRPr="00DA1DAD">
        <w:rPr>
          <w:rFonts w:ascii="Calibri" w:hAnsi="Calibri" w:cs="Calibri"/>
          <w:sz w:val="22"/>
          <w:szCs w:val="22"/>
        </w:rPr>
        <w:t xml:space="preserve">4. </w:t>
      </w:r>
      <w:r w:rsidRPr="00DA1DAD">
        <w:rPr>
          <w:rFonts w:ascii="Calibri" w:hAnsi="Calibri" w:cs="Calibri"/>
          <w:sz w:val="22"/>
          <w:szCs w:val="22"/>
        </w:rPr>
        <w:tab/>
        <w:t xml:space="preserve">Agreements for the provision of management services: This category relates to agreements concerning services related to the day-to-day </w:t>
      </w:r>
      <w:r w:rsidRPr="00DA1DAD">
        <w:rPr>
          <w:rFonts w:ascii="Calibri" w:hAnsi="Calibri" w:cs="Calibri"/>
          <w:sz w:val="22"/>
          <w:szCs w:val="22"/>
        </w:rPr>
        <w:t>management of a Ghanaian enterprise by a foreign enterprise, i.e., the transferee company.</w:t>
      </w:r>
    </w:p>
    <w:p w14:paraId="68D6C48E" w14:textId="77777777" w:rsidR="00DA1DAD" w:rsidRPr="00DA1DAD" w:rsidRDefault="00DA1DAD" w:rsidP="00DA1DAD">
      <w:pPr>
        <w:tabs>
          <w:tab w:val="left" w:pos="900"/>
        </w:tabs>
        <w:spacing w:line="276" w:lineRule="auto"/>
        <w:jc w:val="both"/>
        <w:rPr>
          <w:rFonts w:ascii="Calibri" w:hAnsi="Calibri" w:cs="Calibri"/>
          <w:b/>
          <w:bCs/>
          <w:sz w:val="22"/>
          <w:szCs w:val="22"/>
        </w:rPr>
      </w:pPr>
      <w:r w:rsidRPr="00DA1DAD">
        <w:rPr>
          <w:rFonts w:ascii="Calibri" w:hAnsi="Calibri" w:cs="Calibri"/>
          <w:b/>
          <w:bCs/>
          <w:sz w:val="22"/>
          <w:szCs w:val="22"/>
        </w:rPr>
        <w:t>Key Requirements in Registering A Technology Transfer Agreement</w:t>
      </w:r>
    </w:p>
    <w:p w14:paraId="24892848" w14:textId="2CEDBB98" w:rsidR="006F4DB5"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When seeking to register a TTA, there are essential factors that both the transferor and transferee must consider. These requirements are crucial for ensuring that the TTA is compliant with Act 865. </w:t>
      </w:r>
    </w:p>
    <w:p w14:paraId="123F7BDE" w14:textId="3742802D"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The requirements are as follows</w:t>
      </w:r>
      <w:r w:rsidR="006F4DB5">
        <w:rPr>
          <w:rFonts w:ascii="Calibri" w:hAnsi="Calibri" w:cs="Calibri"/>
          <w:color w:val="1C1C1C"/>
          <w:sz w:val="22"/>
          <w:szCs w:val="22"/>
          <w:shd w:val="clear" w:color="auto" w:fill="FFFFFF"/>
        </w:rPr>
        <w:t>:</w:t>
      </w:r>
    </w:p>
    <w:p w14:paraId="287FA5ED" w14:textId="77777777" w:rsidR="00DA1DAD" w:rsidRPr="00DA1DAD" w:rsidRDefault="00DA1DAD" w:rsidP="00DA1DAD">
      <w:pPr>
        <w:numPr>
          <w:ilvl w:val="0"/>
          <w:numId w:val="1"/>
        </w:numPr>
        <w:tabs>
          <w:tab w:val="left" w:pos="900"/>
        </w:tabs>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 The proposed services must be comprehensively detailed and should encompass services not readily available in Ghana. </w:t>
      </w:r>
    </w:p>
    <w:p w14:paraId="440D4A5E" w14:textId="77777777" w:rsidR="00DA1DAD" w:rsidRPr="00DA1DAD" w:rsidRDefault="00DA1DAD" w:rsidP="00DA1DAD">
      <w:pPr>
        <w:tabs>
          <w:tab w:val="left" w:pos="900"/>
        </w:tabs>
        <w:spacing w:line="276" w:lineRule="auto"/>
        <w:ind w:left="720"/>
        <w:contextualSpacing/>
        <w:jc w:val="both"/>
        <w:rPr>
          <w:rFonts w:ascii="Calibri" w:hAnsi="Calibri" w:cs="Calibri"/>
          <w:color w:val="1C1C1C"/>
          <w:sz w:val="22"/>
          <w:szCs w:val="22"/>
          <w:shd w:val="clear" w:color="auto" w:fill="FFFFFF"/>
        </w:rPr>
      </w:pPr>
    </w:p>
    <w:p w14:paraId="4CEAC6BF" w14:textId="77777777" w:rsidR="00DA1DAD" w:rsidRPr="00DA1DAD" w:rsidRDefault="00DA1DAD" w:rsidP="00DA1DAD">
      <w:pPr>
        <w:numPr>
          <w:ilvl w:val="0"/>
          <w:numId w:val="1"/>
        </w:numPr>
        <w:tabs>
          <w:tab w:val="left" w:pos="900"/>
        </w:tabs>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The transferor is required to furnish training to the transferee and its staff to ensure proficient utilization of the technology, with a training schedule annexed to the application delineating the local staff's training by the transferor. </w:t>
      </w:r>
    </w:p>
    <w:p w14:paraId="65D77BFB" w14:textId="77777777" w:rsidR="00DA1DAD" w:rsidRPr="00DA1DAD" w:rsidRDefault="00DA1DAD" w:rsidP="00DA1DAD">
      <w:pPr>
        <w:spacing w:line="276" w:lineRule="auto"/>
        <w:ind w:left="720"/>
        <w:contextualSpacing/>
        <w:jc w:val="both"/>
        <w:rPr>
          <w:rFonts w:ascii="Calibri" w:hAnsi="Calibri" w:cs="Calibri"/>
          <w:color w:val="1C1C1C"/>
          <w:sz w:val="22"/>
          <w:szCs w:val="22"/>
          <w:shd w:val="clear" w:color="auto" w:fill="FFFFFF"/>
        </w:rPr>
      </w:pPr>
    </w:p>
    <w:p w14:paraId="4BA0FF20" w14:textId="77777777" w:rsidR="00DA1DAD" w:rsidRPr="00DA1DAD" w:rsidRDefault="00DA1DAD" w:rsidP="00DA1DAD">
      <w:pPr>
        <w:numPr>
          <w:ilvl w:val="0"/>
          <w:numId w:val="1"/>
        </w:numPr>
        <w:tabs>
          <w:tab w:val="left" w:pos="900"/>
        </w:tabs>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The governing law stipulated must be Ghanaian law. </w:t>
      </w:r>
    </w:p>
    <w:p w14:paraId="7A6857E5" w14:textId="77777777" w:rsidR="00DA1DAD" w:rsidRPr="00DA1DAD" w:rsidRDefault="00DA1DAD" w:rsidP="00DA1DAD">
      <w:pPr>
        <w:tabs>
          <w:tab w:val="left" w:pos="900"/>
        </w:tabs>
        <w:spacing w:line="276" w:lineRule="auto"/>
        <w:ind w:left="720"/>
        <w:contextualSpacing/>
        <w:jc w:val="both"/>
        <w:rPr>
          <w:rFonts w:ascii="Calibri" w:hAnsi="Calibri" w:cs="Calibri"/>
          <w:color w:val="1C1C1C"/>
          <w:sz w:val="22"/>
          <w:szCs w:val="22"/>
          <w:shd w:val="clear" w:color="auto" w:fill="FFFFFF"/>
        </w:rPr>
      </w:pPr>
    </w:p>
    <w:p w14:paraId="1000F444" w14:textId="77777777" w:rsidR="00DA1DAD" w:rsidRPr="00DA1DAD" w:rsidRDefault="00DA1DAD" w:rsidP="00DA1DAD">
      <w:pPr>
        <w:numPr>
          <w:ilvl w:val="0"/>
          <w:numId w:val="1"/>
        </w:numPr>
        <w:tabs>
          <w:tab w:val="left" w:pos="900"/>
        </w:tabs>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The initial duration of the agreement must exceed eighteen (18) months. </w:t>
      </w:r>
    </w:p>
    <w:p w14:paraId="0FA782CA"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p>
    <w:p w14:paraId="285127B2" w14:textId="77777777" w:rsidR="00DA1DAD" w:rsidRPr="00DA1DAD" w:rsidRDefault="00DA1DAD" w:rsidP="00DA1DAD">
      <w:pPr>
        <w:numPr>
          <w:ilvl w:val="0"/>
          <w:numId w:val="1"/>
        </w:numPr>
        <w:tabs>
          <w:tab w:val="left" w:pos="900"/>
        </w:tabs>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The TTA is to be established between a Ghanaian Company and a foreign Company. </w:t>
      </w:r>
    </w:p>
    <w:p w14:paraId="4C6CA6DD" w14:textId="77777777" w:rsidR="00DA1DAD" w:rsidRPr="00DA1DAD" w:rsidRDefault="00DA1DAD" w:rsidP="00DA1DAD">
      <w:pPr>
        <w:tabs>
          <w:tab w:val="left" w:pos="900"/>
        </w:tabs>
        <w:spacing w:line="276" w:lineRule="auto"/>
        <w:ind w:left="720"/>
        <w:contextualSpacing/>
        <w:jc w:val="both"/>
        <w:rPr>
          <w:rFonts w:ascii="Calibri" w:hAnsi="Calibri" w:cs="Calibri"/>
          <w:color w:val="1C1C1C"/>
          <w:sz w:val="22"/>
          <w:szCs w:val="22"/>
          <w:shd w:val="clear" w:color="auto" w:fill="FFFFFF"/>
        </w:rPr>
      </w:pPr>
    </w:p>
    <w:p w14:paraId="7F4A45E5" w14:textId="77777777" w:rsidR="00DA1DAD" w:rsidRPr="00DA1DAD" w:rsidRDefault="00DA1DAD" w:rsidP="00DA1DAD">
      <w:pPr>
        <w:numPr>
          <w:ilvl w:val="0"/>
          <w:numId w:val="1"/>
        </w:numPr>
        <w:tabs>
          <w:tab w:val="left" w:pos="900"/>
        </w:tabs>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Payment for the technology is to be remitted by the transferee through the banking system. The maximum duration for the initial registration is ten (10) years. </w:t>
      </w:r>
    </w:p>
    <w:p w14:paraId="5F686BAF" w14:textId="77777777" w:rsidR="00DA1DAD" w:rsidRPr="00DA1DAD" w:rsidRDefault="00DA1DAD" w:rsidP="00DA1DAD">
      <w:pPr>
        <w:spacing w:line="276" w:lineRule="auto"/>
        <w:ind w:left="720"/>
        <w:contextualSpacing/>
        <w:jc w:val="both"/>
        <w:rPr>
          <w:rFonts w:ascii="Calibri" w:hAnsi="Calibri" w:cs="Calibri"/>
          <w:color w:val="1C1C1C"/>
          <w:sz w:val="22"/>
          <w:szCs w:val="22"/>
          <w:shd w:val="clear" w:color="auto" w:fill="FFFFFF"/>
        </w:rPr>
      </w:pPr>
    </w:p>
    <w:p w14:paraId="43F7FE67" w14:textId="77777777" w:rsidR="00DA1DAD" w:rsidRPr="00DA1DAD" w:rsidRDefault="00DA1DAD" w:rsidP="00DA1DAD">
      <w:pPr>
        <w:tabs>
          <w:tab w:val="left" w:pos="900"/>
        </w:tabs>
        <w:spacing w:line="276" w:lineRule="auto"/>
        <w:ind w:left="720"/>
        <w:contextualSpacing/>
        <w:jc w:val="both"/>
        <w:rPr>
          <w:rFonts w:ascii="Calibri" w:hAnsi="Calibri" w:cs="Calibri"/>
          <w:color w:val="1C1C1C"/>
          <w:sz w:val="22"/>
          <w:szCs w:val="22"/>
          <w:shd w:val="clear" w:color="auto" w:fill="FFFFFF"/>
        </w:rPr>
      </w:pPr>
    </w:p>
    <w:p w14:paraId="1BE7897D" w14:textId="77777777" w:rsidR="00DA1DAD" w:rsidRDefault="00DA1DAD" w:rsidP="00DA1DAD">
      <w:pPr>
        <w:numPr>
          <w:ilvl w:val="0"/>
          <w:numId w:val="1"/>
        </w:numPr>
        <w:tabs>
          <w:tab w:val="left" w:pos="900"/>
        </w:tabs>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lastRenderedPageBreak/>
        <w:t>The TTA may be renewed for a period not exceeding five (5) years after the expiration of the initial TTA.</w:t>
      </w:r>
    </w:p>
    <w:p w14:paraId="62073787" w14:textId="77777777" w:rsidR="00CB3FEB" w:rsidRDefault="00CB3FEB" w:rsidP="00CB3FEB">
      <w:pPr>
        <w:tabs>
          <w:tab w:val="left" w:pos="900"/>
        </w:tabs>
        <w:spacing w:line="276" w:lineRule="auto"/>
        <w:ind w:left="720"/>
        <w:contextualSpacing/>
        <w:jc w:val="both"/>
        <w:rPr>
          <w:rFonts w:ascii="Calibri" w:hAnsi="Calibri" w:cs="Calibri"/>
          <w:color w:val="1C1C1C"/>
          <w:sz w:val="22"/>
          <w:szCs w:val="22"/>
          <w:shd w:val="clear" w:color="auto" w:fill="FFFFFF"/>
        </w:rPr>
      </w:pPr>
    </w:p>
    <w:p w14:paraId="3339853B" w14:textId="4F69D138" w:rsidR="00CB3FEB" w:rsidRDefault="00CB3FEB" w:rsidP="00CB3FEB">
      <w:pPr>
        <w:tabs>
          <w:tab w:val="left" w:pos="900"/>
        </w:tabs>
        <w:spacing w:line="276" w:lineRule="auto"/>
        <w:contextualSpacing/>
        <w:jc w:val="both"/>
        <w:rPr>
          <w:rFonts w:ascii="Calibri" w:hAnsi="Calibri" w:cs="Calibri"/>
          <w:color w:val="1C1C1C"/>
          <w:sz w:val="22"/>
          <w:szCs w:val="22"/>
          <w:shd w:val="clear" w:color="auto" w:fill="FFFFFF"/>
        </w:rPr>
      </w:pPr>
      <w:r>
        <w:rPr>
          <w:noProof/>
        </w:rPr>
        <w:drawing>
          <wp:inline distT="0" distB="0" distL="0" distR="0" wp14:anchorId="35E0638F" wp14:editId="1FDB8760">
            <wp:extent cx="3200400" cy="2134870"/>
            <wp:effectExtent l="0" t="0" r="0" b="0"/>
            <wp:docPr id="1110295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134870"/>
                    </a:xfrm>
                    <a:prstGeom prst="rect">
                      <a:avLst/>
                    </a:prstGeom>
                    <a:noFill/>
                    <a:ln>
                      <a:noFill/>
                    </a:ln>
                  </pic:spPr>
                </pic:pic>
              </a:graphicData>
            </a:graphic>
          </wp:inline>
        </w:drawing>
      </w:r>
    </w:p>
    <w:p w14:paraId="6879F034" w14:textId="77777777" w:rsidR="00CB3FEB" w:rsidRPr="00DA1DAD" w:rsidRDefault="00CB3FEB" w:rsidP="00CB3FEB">
      <w:pPr>
        <w:tabs>
          <w:tab w:val="left" w:pos="900"/>
        </w:tabs>
        <w:spacing w:line="276" w:lineRule="auto"/>
        <w:contextualSpacing/>
        <w:jc w:val="both"/>
        <w:rPr>
          <w:rFonts w:ascii="Calibri" w:hAnsi="Calibri" w:cs="Calibri"/>
          <w:color w:val="1C1C1C"/>
          <w:sz w:val="22"/>
          <w:szCs w:val="22"/>
          <w:shd w:val="clear" w:color="auto" w:fill="FFFFFF"/>
        </w:rPr>
      </w:pPr>
    </w:p>
    <w:p w14:paraId="1C92529C" w14:textId="77777777" w:rsidR="00DA1DAD" w:rsidRPr="00DA1DAD" w:rsidRDefault="00DA1DAD" w:rsidP="00DA1DAD">
      <w:pPr>
        <w:tabs>
          <w:tab w:val="left" w:pos="900"/>
        </w:tabs>
        <w:spacing w:line="276" w:lineRule="auto"/>
        <w:jc w:val="both"/>
        <w:rPr>
          <w:rFonts w:ascii="Calibri" w:hAnsi="Calibri" w:cs="Calibri"/>
          <w:b/>
          <w:bCs/>
          <w:sz w:val="22"/>
          <w:szCs w:val="22"/>
        </w:rPr>
      </w:pPr>
      <w:r w:rsidRPr="00DA1DAD">
        <w:rPr>
          <w:rFonts w:ascii="Calibri" w:hAnsi="Calibri" w:cs="Calibri"/>
          <w:b/>
          <w:bCs/>
          <w:sz w:val="22"/>
          <w:szCs w:val="22"/>
        </w:rPr>
        <w:t xml:space="preserve">Agreements That Do not qualify as a Technology Agreement </w:t>
      </w:r>
    </w:p>
    <w:p w14:paraId="3477E81D"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There exist specific criteria under which certain Agreements do not qualify as a TTA. The following stipulations outline the circumstances that render Agreements ineligible for classification as a TTA: </w:t>
      </w:r>
    </w:p>
    <w:p w14:paraId="77107846" w14:textId="77777777" w:rsidR="00DA1DAD" w:rsidRPr="00DA1DAD" w:rsidRDefault="00DA1DAD" w:rsidP="00DA1DAD">
      <w:pPr>
        <w:tabs>
          <w:tab w:val="left" w:pos="900"/>
        </w:tabs>
        <w:spacing w:line="276" w:lineRule="auto"/>
        <w:ind w:left="720" w:hanging="720"/>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1. </w:t>
      </w:r>
      <w:r w:rsidRPr="00DA1DAD">
        <w:rPr>
          <w:rFonts w:ascii="Calibri" w:hAnsi="Calibri" w:cs="Calibri"/>
          <w:color w:val="1C1C1C"/>
          <w:sz w:val="22"/>
          <w:szCs w:val="22"/>
          <w:shd w:val="clear" w:color="auto" w:fill="FFFFFF"/>
        </w:rPr>
        <w:tab/>
      </w:r>
      <w:r w:rsidRPr="00DA1DAD">
        <w:rPr>
          <w:rFonts w:ascii="Calibri" w:hAnsi="Calibri" w:cs="Calibri"/>
          <w:b/>
          <w:bCs/>
          <w:color w:val="1C1C1C"/>
          <w:sz w:val="22"/>
          <w:szCs w:val="22"/>
          <w:shd w:val="clear" w:color="auto" w:fill="FFFFFF"/>
        </w:rPr>
        <w:t>Agreements Solely for the Provision of Goods</w:t>
      </w:r>
      <w:r w:rsidRPr="00DA1DAD">
        <w:rPr>
          <w:rFonts w:ascii="Calibri" w:hAnsi="Calibri" w:cs="Calibri"/>
          <w:color w:val="1C1C1C"/>
          <w:sz w:val="22"/>
          <w:szCs w:val="22"/>
          <w:shd w:val="clear" w:color="auto" w:fill="FFFFFF"/>
        </w:rPr>
        <w:t xml:space="preserve">: TTAs are strictly for the provision of services; therefore, any Agreement that solely centers around the provision of goods does not meet the necessary criteria. </w:t>
      </w:r>
    </w:p>
    <w:p w14:paraId="4DE30A2B" w14:textId="77777777" w:rsidR="00DA1DAD" w:rsidRPr="00DA1DAD" w:rsidRDefault="00DA1DAD" w:rsidP="00DA1DAD">
      <w:pPr>
        <w:tabs>
          <w:tab w:val="left" w:pos="900"/>
        </w:tabs>
        <w:spacing w:line="276" w:lineRule="auto"/>
        <w:ind w:left="720" w:hanging="720"/>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2. </w:t>
      </w:r>
      <w:r w:rsidRPr="00DA1DAD">
        <w:rPr>
          <w:rFonts w:ascii="Calibri" w:hAnsi="Calibri" w:cs="Calibri"/>
          <w:color w:val="1C1C1C"/>
          <w:sz w:val="22"/>
          <w:szCs w:val="22"/>
          <w:shd w:val="clear" w:color="auto" w:fill="FFFFFF"/>
        </w:rPr>
        <w:tab/>
      </w:r>
      <w:r w:rsidRPr="00DA1DAD">
        <w:rPr>
          <w:rFonts w:ascii="Calibri" w:hAnsi="Calibri" w:cs="Calibri"/>
          <w:b/>
          <w:bCs/>
          <w:color w:val="1C1C1C"/>
          <w:sz w:val="22"/>
          <w:szCs w:val="22"/>
          <w:shd w:val="clear" w:color="auto" w:fill="FFFFFF"/>
        </w:rPr>
        <w:t>Duration of Agreements</w:t>
      </w:r>
      <w:r w:rsidRPr="00DA1DAD">
        <w:rPr>
          <w:rFonts w:ascii="Calibri" w:hAnsi="Calibri" w:cs="Calibri"/>
          <w:color w:val="1C1C1C"/>
          <w:sz w:val="22"/>
          <w:szCs w:val="22"/>
          <w:shd w:val="clear" w:color="auto" w:fill="FFFFFF"/>
        </w:rPr>
        <w:t xml:space="preserve">: Agreements with a duration of less than eighteen (18) months, without any provisions for renewal or extension, do not align with the parameters of TTAs. </w:t>
      </w:r>
    </w:p>
    <w:p w14:paraId="1A09ED76" w14:textId="77777777" w:rsidR="00DA1DAD" w:rsidRPr="00DA1DAD" w:rsidRDefault="00DA1DAD" w:rsidP="00DA1DAD">
      <w:pPr>
        <w:tabs>
          <w:tab w:val="left" w:pos="900"/>
        </w:tabs>
        <w:spacing w:line="276" w:lineRule="auto"/>
        <w:ind w:left="720" w:hanging="720"/>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3. </w:t>
      </w:r>
      <w:r w:rsidRPr="00DA1DAD">
        <w:rPr>
          <w:rFonts w:ascii="Calibri" w:hAnsi="Calibri" w:cs="Calibri"/>
          <w:color w:val="1C1C1C"/>
          <w:sz w:val="22"/>
          <w:szCs w:val="22"/>
          <w:shd w:val="clear" w:color="auto" w:fill="FFFFFF"/>
        </w:rPr>
        <w:tab/>
      </w:r>
      <w:r w:rsidRPr="00DA1DAD">
        <w:rPr>
          <w:rFonts w:ascii="Calibri" w:hAnsi="Calibri" w:cs="Calibri"/>
          <w:b/>
          <w:bCs/>
          <w:color w:val="1C1C1C"/>
          <w:sz w:val="22"/>
          <w:szCs w:val="22"/>
          <w:shd w:val="clear" w:color="auto" w:fill="FFFFFF"/>
        </w:rPr>
        <w:t xml:space="preserve">Services Falling Outside the Scope of GIPC Legislation: </w:t>
      </w:r>
      <w:r w:rsidRPr="00DA1DAD">
        <w:rPr>
          <w:rFonts w:ascii="Calibri" w:hAnsi="Calibri" w:cs="Calibri"/>
          <w:color w:val="1C1C1C"/>
          <w:sz w:val="22"/>
          <w:szCs w:val="22"/>
          <w:shd w:val="clear" w:color="auto" w:fill="FFFFFF"/>
        </w:rPr>
        <w:t xml:space="preserve">Agreements for services that fall outside the established scope of the GIPC legislation would not be considered within the realm of TTAs, as outlined by the regulatory guidelines. </w:t>
      </w:r>
    </w:p>
    <w:p w14:paraId="09E7998B" w14:textId="59FD9EFC"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It is imperative for all entities engaging in Technology </w:t>
      </w:r>
      <w:r w:rsidR="006F4DB5">
        <w:rPr>
          <w:rFonts w:ascii="Calibri" w:hAnsi="Calibri" w:cs="Calibri"/>
          <w:color w:val="1C1C1C"/>
          <w:sz w:val="22"/>
          <w:szCs w:val="22"/>
          <w:shd w:val="clear" w:color="auto" w:fill="FFFFFF"/>
        </w:rPr>
        <w:t xml:space="preserve">Transfer </w:t>
      </w:r>
      <w:r w:rsidRPr="00DA1DAD">
        <w:rPr>
          <w:rFonts w:ascii="Calibri" w:hAnsi="Calibri" w:cs="Calibri"/>
          <w:color w:val="1C1C1C"/>
          <w:sz w:val="22"/>
          <w:szCs w:val="22"/>
          <w:shd w:val="clear" w:color="auto" w:fill="FFFFFF"/>
        </w:rPr>
        <w:t>Agreements to be cognizant of these exclusion criteria in order to ensure adherence to the relevant legal and regulatory frameworks. Understanding and adhering to these delineations will assist in the proper classification of Agreements and facilitate compliance with the applicable laws and statutes governing TTAs.</w:t>
      </w:r>
    </w:p>
    <w:p w14:paraId="5A250EE7" w14:textId="77777777" w:rsidR="00DA1DAD" w:rsidRPr="00DA1DAD" w:rsidRDefault="00DA1DAD" w:rsidP="00DA1DAD">
      <w:pPr>
        <w:spacing w:line="276" w:lineRule="auto"/>
        <w:jc w:val="both"/>
        <w:rPr>
          <w:rFonts w:ascii="Calibri" w:hAnsi="Calibri" w:cs="Calibri"/>
          <w:color w:val="1C1C1C"/>
          <w:sz w:val="22"/>
          <w:szCs w:val="22"/>
          <w:shd w:val="clear" w:color="auto" w:fill="FFFFFF"/>
        </w:rPr>
      </w:pPr>
      <w:r w:rsidRPr="00DA1DAD">
        <w:rPr>
          <w:rFonts w:ascii="Calibri" w:hAnsi="Calibri" w:cs="Calibri"/>
          <w:b/>
          <w:bCs/>
          <w:color w:val="1C1C1C"/>
          <w:sz w:val="22"/>
          <w:szCs w:val="22"/>
          <w:shd w:val="clear" w:color="auto" w:fill="FFFFFF"/>
        </w:rPr>
        <w:t>Registration Procedure</w:t>
      </w:r>
    </w:p>
    <w:p w14:paraId="5AB9A608" w14:textId="77777777" w:rsidR="00DA1DAD" w:rsidRPr="00DA1DAD" w:rsidRDefault="00DA1DAD" w:rsidP="00DA1DAD">
      <w:pPr>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In order to initiate the registration process, the applicant is required to complete the TTA Registration form and furnish the requisite supporting documentation, which are as follows:</w:t>
      </w:r>
    </w:p>
    <w:p w14:paraId="2E0918C5" w14:textId="77777777" w:rsidR="00DA1DAD" w:rsidRPr="00DA1DAD" w:rsidRDefault="00DA1DAD" w:rsidP="00DA1DAD">
      <w:pPr>
        <w:numPr>
          <w:ilvl w:val="0"/>
          <w:numId w:val="2"/>
        </w:numPr>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Certified True Copy (CTC) of the company's incorporation documents.</w:t>
      </w:r>
    </w:p>
    <w:p w14:paraId="2E081216" w14:textId="77777777" w:rsidR="00DA1DAD" w:rsidRPr="00DA1DAD" w:rsidRDefault="00DA1DAD" w:rsidP="00DA1DAD">
      <w:pPr>
        <w:spacing w:line="276" w:lineRule="auto"/>
        <w:ind w:left="720"/>
        <w:contextualSpacing/>
        <w:jc w:val="both"/>
        <w:rPr>
          <w:rFonts w:ascii="Calibri" w:hAnsi="Calibri" w:cs="Calibri"/>
          <w:color w:val="1C1C1C"/>
          <w:sz w:val="22"/>
          <w:szCs w:val="22"/>
          <w:shd w:val="clear" w:color="auto" w:fill="FFFFFF"/>
        </w:rPr>
      </w:pPr>
    </w:p>
    <w:p w14:paraId="06AAABA4" w14:textId="77777777" w:rsidR="00DA1DAD" w:rsidRPr="00DA1DAD" w:rsidRDefault="00DA1DAD" w:rsidP="00DA1DAD">
      <w:pPr>
        <w:numPr>
          <w:ilvl w:val="0"/>
          <w:numId w:val="2"/>
        </w:numPr>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CTC of the TTA </w:t>
      </w:r>
    </w:p>
    <w:p w14:paraId="5C87574B" w14:textId="77777777" w:rsidR="00DA1DAD" w:rsidRPr="00DA1DAD" w:rsidRDefault="00DA1DAD" w:rsidP="00DA1DAD">
      <w:pPr>
        <w:spacing w:line="276" w:lineRule="auto"/>
        <w:ind w:left="720"/>
        <w:contextualSpacing/>
        <w:rPr>
          <w:rFonts w:ascii="Calibri" w:hAnsi="Calibri" w:cs="Calibri"/>
          <w:color w:val="1C1C1C"/>
          <w:sz w:val="22"/>
          <w:szCs w:val="22"/>
          <w:shd w:val="clear" w:color="auto" w:fill="FFFFFF"/>
        </w:rPr>
      </w:pPr>
    </w:p>
    <w:p w14:paraId="4F2CB23C" w14:textId="77777777" w:rsidR="00DA1DAD" w:rsidRPr="00DA1DAD" w:rsidRDefault="00DA1DAD" w:rsidP="00DA1DAD">
      <w:pPr>
        <w:numPr>
          <w:ilvl w:val="0"/>
          <w:numId w:val="2"/>
        </w:numPr>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CTC of the Company’s Constitution </w:t>
      </w:r>
    </w:p>
    <w:p w14:paraId="00BE8769" w14:textId="77777777" w:rsidR="00DA1DAD" w:rsidRPr="00DA1DAD" w:rsidRDefault="00DA1DAD" w:rsidP="00DA1DAD">
      <w:pPr>
        <w:spacing w:line="276" w:lineRule="auto"/>
        <w:ind w:left="720"/>
        <w:contextualSpacing/>
        <w:rPr>
          <w:rFonts w:ascii="Calibri" w:hAnsi="Calibri" w:cs="Calibri"/>
          <w:color w:val="1C1C1C"/>
          <w:sz w:val="22"/>
          <w:szCs w:val="22"/>
          <w:shd w:val="clear" w:color="auto" w:fill="FFFFFF"/>
        </w:rPr>
      </w:pPr>
    </w:p>
    <w:p w14:paraId="285D71EE" w14:textId="77777777" w:rsidR="00DA1DAD" w:rsidRPr="00DA1DAD" w:rsidRDefault="00DA1DAD" w:rsidP="00DA1DAD">
      <w:pPr>
        <w:numPr>
          <w:ilvl w:val="0"/>
          <w:numId w:val="2"/>
        </w:numPr>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Comprehensive training schedule </w:t>
      </w:r>
    </w:p>
    <w:p w14:paraId="23E88670" w14:textId="77777777" w:rsidR="00DA1DAD" w:rsidRPr="00DA1DAD" w:rsidRDefault="00DA1DAD" w:rsidP="00DA1DAD">
      <w:pPr>
        <w:spacing w:line="276" w:lineRule="auto"/>
        <w:ind w:left="720"/>
        <w:contextualSpacing/>
        <w:rPr>
          <w:rFonts w:ascii="Calibri" w:hAnsi="Calibri" w:cs="Calibri"/>
          <w:color w:val="1C1C1C"/>
          <w:sz w:val="22"/>
          <w:szCs w:val="22"/>
          <w:shd w:val="clear" w:color="auto" w:fill="FFFFFF"/>
        </w:rPr>
      </w:pPr>
    </w:p>
    <w:p w14:paraId="2A7A46E6" w14:textId="77777777" w:rsidR="00DA1DAD" w:rsidRPr="00DA1DAD" w:rsidRDefault="00DA1DAD" w:rsidP="00DA1DAD">
      <w:pPr>
        <w:numPr>
          <w:ilvl w:val="0"/>
          <w:numId w:val="2"/>
        </w:numPr>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The GIPC Certificate </w:t>
      </w:r>
    </w:p>
    <w:p w14:paraId="2FFEBD56" w14:textId="77777777" w:rsidR="00DA1DAD" w:rsidRPr="00DA1DAD" w:rsidRDefault="00DA1DAD" w:rsidP="00DA1DAD">
      <w:pPr>
        <w:spacing w:line="276" w:lineRule="auto"/>
        <w:ind w:left="720"/>
        <w:contextualSpacing/>
        <w:rPr>
          <w:rFonts w:ascii="Calibri" w:hAnsi="Calibri" w:cs="Calibri"/>
          <w:color w:val="1C1C1C"/>
          <w:sz w:val="22"/>
          <w:szCs w:val="22"/>
          <w:shd w:val="clear" w:color="auto" w:fill="FFFFFF"/>
        </w:rPr>
      </w:pPr>
    </w:p>
    <w:p w14:paraId="5AB24AEB" w14:textId="77777777" w:rsidR="00DA1DAD" w:rsidRPr="00DA1DAD" w:rsidRDefault="00DA1DAD" w:rsidP="00DA1DAD">
      <w:pPr>
        <w:numPr>
          <w:ilvl w:val="0"/>
          <w:numId w:val="2"/>
        </w:numPr>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Tax Clearance Certificate </w:t>
      </w:r>
    </w:p>
    <w:p w14:paraId="04F1042F" w14:textId="77777777" w:rsidR="00DA1DAD" w:rsidRPr="00DA1DAD" w:rsidRDefault="00DA1DAD" w:rsidP="00DA1DAD">
      <w:pPr>
        <w:spacing w:line="276" w:lineRule="auto"/>
        <w:ind w:left="720"/>
        <w:contextualSpacing/>
        <w:rPr>
          <w:rFonts w:ascii="Calibri" w:hAnsi="Calibri" w:cs="Calibri"/>
          <w:color w:val="1C1C1C"/>
          <w:sz w:val="22"/>
          <w:szCs w:val="22"/>
          <w:shd w:val="clear" w:color="auto" w:fill="FFFFFF"/>
        </w:rPr>
      </w:pPr>
    </w:p>
    <w:p w14:paraId="2D3A42F6" w14:textId="77777777" w:rsidR="00DA1DAD" w:rsidRPr="00DA1DAD" w:rsidRDefault="00DA1DAD" w:rsidP="00DA1DAD">
      <w:pPr>
        <w:numPr>
          <w:ilvl w:val="0"/>
          <w:numId w:val="2"/>
        </w:numPr>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Certified recent audited financial statements for the last five (5) years of the Transferee Company</w:t>
      </w:r>
    </w:p>
    <w:p w14:paraId="2F27A093" w14:textId="77777777" w:rsidR="00DA1DAD" w:rsidRPr="00DA1DAD" w:rsidRDefault="00DA1DAD" w:rsidP="00DA1DAD">
      <w:pPr>
        <w:spacing w:line="276" w:lineRule="auto"/>
        <w:ind w:left="720"/>
        <w:contextualSpacing/>
        <w:rPr>
          <w:rFonts w:ascii="Calibri" w:hAnsi="Calibri" w:cs="Calibri"/>
          <w:color w:val="1C1C1C"/>
          <w:sz w:val="22"/>
          <w:szCs w:val="22"/>
          <w:shd w:val="clear" w:color="auto" w:fill="FFFFFF"/>
        </w:rPr>
      </w:pPr>
    </w:p>
    <w:p w14:paraId="1E47ECA3" w14:textId="77777777" w:rsidR="00DA1DAD" w:rsidRPr="00DA1DAD" w:rsidRDefault="00DA1DAD" w:rsidP="00DA1DAD">
      <w:pPr>
        <w:numPr>
          <w:ilvl w:val="0"/>
          <w:numId w:val="2"/>
        </w:numPr>
        <w:spacing w:line="276" w:lineRule="auto"/>
        <w:contextualSpacing/>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Yearly forecast of fees payable per annum to the transferor for the duration of the Agreement </w:t>
      </w:r>
    </w:p>
    <w:p w14:paraId="484DFCC2" w14:textId="77777777" w:rsidR="00DA1DAD" w:rsidRPr="00DA1DAD" w:rsidRDefault="00DA1DAD" w:rsidP="00DA1DAD">
      <w:pPr>
        <w:spacing w:line="276" w:lineRule="auto"/>
        <w:ind w:left="720"/>
        <w:contextualSpacing/>
        <w:jc w:val="both"/>
        <w:rPr>
          <w:rFonts w:ascii="Calibri" w:hAnsi="Calibri" w:cs="Calibri"/>
          <w:color w:val="1C1C1C"/>
          <w:sz w:val="22"/>
          <w:szCs w:val="22"/>
          <w:shd w:val="clear" w:color="auto" w:fill="FFFFFF"/>
        </w:rPr>
      </w:pPr>
    </w:p>
    <w:p w14:paraId="72E68C9E" w14:textId="77777777" w:rsidR="00DA1DAD" w:rsidRPr="00DA1DAD" w:rsidRDefault="00DA1DAD" w:rsidP="00DA1DAD">
      <w:pPr>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Additionally, there is a non-refundable application fee. The initial application fee is in the sum of Eleven Thousand, Seven Hundred and Sixty Ghana Cedis (GHS 11,760.00) while the renewal application fee is in the sum of Seven Thousand, Six Hundred and Forty Ghana Cedis (GHS 7,640.00). </w:t>
      </w:r>
    </w:p>
    <w:p w14:paraId="11AD8A0E" w14:textId="77777777" w:rsidR="00DA1DAD" w:rsidRPr="00DA1DAD" w:rsidRDefault="00DA1DAD" w:rsidP="00DA1DAD">
      <w:pPr>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lastRenderedPageBreak/>
        <w:t xml:space="preserve">Upon submission of the completed application form and all the necessary supporting documentation, the processing time is estimated to be four (4) to six (6) weeks. In the event of an incomplete application, it will be returned to the applicant along with a detailed legal opinion and instructions on how to revise the application. The applicant will be given a two (2) month period to submit a revised application. Upon approval, the Applicant will be required to pay an approval fee based on the duration of the TTA and amount of fees to be transferred.  </w:t>
      </w:r>
    </w:p>
    <w:p w14:paraId="4995E9EA" w14:textId="77777777" w:rsidR="00DA1DAD" w:rsidRPr="00DA1DAD" w:rsidRDefault="00DA1DAD" w:rsidP="00DA1DAD">
      <w:pPr>
        <w:spacing w:line="276" w:lineRule="auto"/>
        <w:jc w:val="both"/>
        <w:rPr>
          <w:rFonts w:ascii="Calibri" w:hAnsi="Calibri" w:cs="Calibri"/>
          <w:sz w:val="22"/>
          <w:szCs w:val="22"/>
        </w:rPr>
      </w:pPr>
      <w:r w:rsidRPr="00DA1DAD">
        <w:rPr>
          <w:rFonts w:ascii="Calibri" w:hAnsi="Calibri" w:cs="Calibri"/>
          <w:color w:val="1C1C1C"/>
          <w:sz w:val="22"/>
          <w:szCs w:val="22"/>
          <w:shd w:val="clear" w:color="auto" w:fill="FFFFFF"/>
        </w:rPr>
        <w:t>Following payment of the approval fee, a Certificate of Registration will be issued, and an Approval Letter will be forwarded to the Bank of Ghana (BOG) and Ghana Revenue Authority (GRA).</w:t>
      </w:r>
    </w:p>
    <w:p w14:paraId="173BA401" w14:textId="77777777" w:rsidR="00DA1DAD" w:rsidRPr="00DA1DAD" w:rsidRDefault="00DA1DAD" w:rsidP="00DA1DAD">
      <w:pPr>
        <w:spacing w:line="276" w:lineRule="auto"/>
        <w:ind w:left="720"/>
        <w:contextualSpacing/>
        <w:jc w:val="both"/>
        <w:rPr>
          <w:rFonts w:ascii="Calibri" w:hAnsi="Calibri" w:cs="Calibri"/>
          <w:sz w:val="22"/>
          <w:szCs w:val="22"/>
        </w:rPr>
      </w:pPr>
    </w:p>
    <w:p w14:paraId="660F86B7" w14:textId="77777777" w:rsidR="00DA1DAD" w:rsidRPr="00DA1DAD" w:rsidRDefault="00DA1DAD" w:rsidP="00DA1DAD">
      <w:pPr>
        <w:tabs>
          <w:tab w:val="left" w:pos="900"/>
        </w:tabs>
        <w:spacing w:line="276" w:lineRule="auto"/>
        <w:jc w:val="both"/>
        <w:rPr>
          <w:rFonts w:ascii="Calibri" w:hAnsi="Calibri" w:cs="Calibri"/>
          <w:b/>
          <w:bCs/>
          <w:sz w:val="22"/>
          <w:szCs w:val="22"/>
        </w:rPr>
      </w:pPr>
      <w:r w:rsidRPr="00DA1DAD">
        <w:rPr>
          <w:rFonts w:ascii="Calibri" w:hAnsi="Calibri" w:cs="Calibri"/>
          <w:b/>
          <w:bCs/>
          <w:sz w:val="22"/>
          <w:szCs w:val="22"/>
        </w:rPr>
        <w:t xml:space="preserve">Restrictions on fees Chargeable Under a TTA. </w:t>
      </w:r>
    </w:p>
    <w:p w14:paraId="7CAFF7D6"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Technology Transfer Agreements (TTAs) are subject to specific restrictions regarding the fees chargeable for services. L.I. 1547 regulations defining the permissible fees for services rendered to the transferee. These regulations, enshrined in L.I.1547 provide a comprehensive framework that sets precise limits based on the company's net sales. </w:t>
      </w:r>
    </w:p>
    <w:p w14:paraId="05C3D963"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The fee restrictions are classified into distinct categories, each with its own specified range: -</w:t>
      </w:r>
    </w:p>
    <w:p w14:paraId="45775C31"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 Royalties for Intellectual Property- </w:t>
      </w:r>
      <w:r w:rsidRPr="00DA1DAD">
        <w:rPr>
          <w:rFonts w:ascii="Calibri" w:hAnsi="Calibri" w:cs="Calibri"/>
          <w:color w:val="1C1C1C"/>
          <w:sz w:val="22"/>
          <w:szCs w:val="22"/>
          <w:shd w:val="clear" w:color="auto" w:fill="FFFFFF"/>
        </w:rPr>
        <w:tab/>
        <w:t xml:space="preserve">0% to 6% of net sales  </w:t>
      </w:r>
    </w:p>
    <w:p w14:paraId="0F18AA9B"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Technical Services/Assistance-</w:t>
      </w:r>
      <w:r w:rsidRPr="00DA1DAD">
        <w:rPr>
          <w:rFonts w:ascii="Calibri" w:hAnsi="Calibri" w:cs="Calibri"/>
          <w:color w:val="1C1C1C"/>
          <w:sz w:val="22"/>
          <w:szCs w:val="22"/>
          <w:shd w:val="clear" w:color="auto" w:fill="FFFFFF"/>
        </w:rPr>
        <w:tab/>
      </w:r>
      <w:r w:rsidRPr="00DA1DAD">
        <w:rPr>
          <w:rFonts w:ascii="Calibri" w:hAnsi="Calibri" w:cs="Calibri"/>
          <w:color w:val="1C1C1C"/>
          <w:sz w:val="22"/>
          <w:szCs w:val="22"/>
          <w:shd w:val="clear" w:color="auto" w:fill="FFFFFF"/>
        </w:rPr>
        <w:tab/>
        <w:t xml:space="preserve"> 0% to 3% of net sales </w:t>
      </w:r>
    </w:p>
    <w:p w14:paraId="4055B7E0"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Know-How-</w:t>
      </w:r>
      <w:r w:rsidRPr="00DA1DAD">
        <w:rPr>
          <w:rFonts w:ascii="Calibri" w:hAnsi="Calibri" w:cs="Calibri"/>
          <w:color w:val="1C1C1C"/>
          <w:sz w:val="22"/>
          <w:szCs w:val="22"/>
          <w:shd w:val="clear" w:color="auto" w:fill="FFFFFF"/>
        </w:rPr>
        <w:tab/>
      </w:r>
      <w:r w:rsidRPr="00DA1DAD">
        <w:rPr>
          <w:rFonts w:ascii="Calibri" w:hAnsi="Calibri" w:cs="Calibri"/>
          <w:color w:val="1C1C1C"/>
          <w:sz w:val="22"/>
          <w:szCs w:val="22"/>
          <w:shd w:val="clear" w:color="auto" w:fill="FFFFFF"/>
        </w:rPr>
        <w:tab/>
      </w:r>
      <w:r w:rsidRPr="00DA1DAD">
        <w:rPr>
          <w:rFonts w:ascii="Calibri" w:hAnsi="Calibri" w:cs="Calibri"/>
          <w:color w:val="1C1C1C"/>
          <w:sz w:val="22"/>
          <w:szCs w:val="22"/>
          <w:shd w:val="clear" w:color="auto" w:fill="FFFFFF"/>
        </w:rPr>
        <w:tab/>
      </w:r>
      <w:r w:rsidRPr="00DA1DAD">
        <w:rPr>
          <w:rFonts w:ascii="Calibri" w:hAnsi="Calibri" w:cs="Calibri"/>
          <w:color w:val="1C1C1C"/>
          <w:sz w:val="22"/>
          <w:szCs w:val="22"/>
          <w:shd w:val="clear" w:color="auto" w:fill="FFFFFF"/>
        </w:rPr>
        <w:tab/>
        <w:t xml:space="preserve">0% to 2% of net sales </w:t>
      </w:r>
    </w:p>
    <w:p w14:paraId="337BF5BA"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 Management Services-</w:t>
      </w:r>
      <w:r w:rsidRPr="00DA1DAD">
        <w:rPr>
          <w:rFonts w:ascii="Calibri" w:hAnsi="Calibri" w:cs="Calibri"/>
          <w:color w:val="1C1C1C"/>
          <w:sz w:val="22"/>
          <w:szCs w:val="22"/>
          <w:shd w:val="clear" w:color="auto" w:fill="FFFFFF"/>
        </w:rPr>
        <w:tab/>
      </w:r>
      <w:r w:rsidRPr="00DA1DAD">
        <w:rPr>
          <w:rFonts w:ascii="Calibri" w:hAnsi="Calibri" w:cs="Calibri"/>
          <w:color w:val="1C1C1C"/>
          <w:sz w:val="22"/>
          <w:szCs w:val="22"/>
          <w:shd w:val="clear" w:color="auto" w:fill="FFFFFF"/>
        </w:rPr>
        <w:tab/>
      </w:r>
      <w:r w:rsidRPr="00DA1DAD">
        <w:rPr>
          <w:rFonts w:ascii="Calibri" w:hAnsi="Calibri" w:cs="Calibri"/>
          <w:color w:val="1C1C1C"/>
          <w:sz w:val="22"/>
          <w:szCs w:val="22"/>
          <w:shd w:val="clear" w:color="auto" w:fill="FFFFFF"/>
        </w:rPr>
        <w:tab/>
        <w:t xml:space="preserve">0% to 2% of net sales </w:t>
      </w:r>
    </w:p>
    <w:p w14:paraId="3C0B886D"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In instances where a service involves a fusion of management services, technical services, and patent know-how, the cumulative fee must not exceed 8% of net sales. </w:t>
      </w:r>
    </w:p>
    <w:p w14:paraId="66099197" w14:textId="18234CB7" w:rsidR="00E6195F"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Importantly, it is crucial to note that any request for fees exceeding these prescribed thresholds necessitates formal approval from the GIPC. It is imperative for the transferor and transferee companies to have a comprehensive understanding of these constraints and ensure compliance with the specified parameters established by the GIPC.</w:t>
      </w:r>
    </w:p>
    <w:p w14:paraId="24D8E2F6" w14:textId="31A7FA35" w:rsidR="00CB3FEB" w:rsidRPr="00DA1DAD" w:rsidRDefault="00CB3FEB" w:rsidP="00DA1DAD">
      <w:pPr>
        <w:tabs>
          <w:tab w:val="left" w:pos="900"/>
        </w:tabs>
        <w:spacing w:line="276" w:lineRule="auto"/>
        <w:jc w:val="both"/>
        <w:rPr>
          <w:rFonts w:ascii="Calibri" w:hAnsi="Calibri" w:cs="Calibri"/>
          <w:b/>
          <w:bCs/>
          <w:sz w:val="22"/>
          <w:szCs w:val="22"/>
        </w:rPr>
      </w:pPr>
      <w:r>
        <w:rPr>
          <w:noProof/>
        </w:rPr>
        <w:drawing>
          <wp:inline distT="0" distB="0" distL="0" distR="0" wp14:anchorId="606AB325" wp14:editId="1C2A5A6B">
            <wp:extent cx="3200400" cy="1393190"/>
            <wp:effectExtent l="0" t="0" r="0" b="0"/>
            <wp:docPr id="191971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393190"/>
                    </a:xfrm>
                    <a:prstGeom prst="rect">
                      <a:avLst/>
                    </a:prstGeom>
                    <a:noFill/>
                    <a:ln>
                      <a:noFill/>
                    </a:ln>
                  </pic:spPr>
                </pic:pic>
              </a:graphicData>
            </a:graphic>
          </wp:inline>
        </w:drawing>
      </w:r>
    </w:p>
    <w:p w14:paraId="688987FB" w14:textId="77777777" w:rsidR="00DA1DAD" w:rsidRPr="00DA1DAD" w:rsidRDefault="00DA1DAD" w:rsidP="00DA1DAD">
      <w:pPr>
        <w:tabs>
          <w:tab w:val="left" w:pos="900"/>
        </w:tabs>
        <w:spacing w:line="276" w:lineRule="auto"/>
        <w:jc w:val="both"/>
        <w:rPr>
          <w:rFonts w:ascii="Calibri" w:hAnsi="Calibri" w:cs="Calibri"/>
          <w:sz w:val="8"/>
          <w:szCs w:val="8"/>
        </w:rPr>
      </w:pPr>
    </w:p>
    <w:p w14:paraId="7F32938D" w14:textId="77777777" w:rsidR="00DA1DAD" w:rsidRPr="00DA1DAD" w:rsidRDefault="00DA1DAD" w:rsidP="00DA1DAD">
      <w:pPr>
        <w:tabs>
          <w:tab w:val="left" w:pos="900"/>
        </w:tabs>
        <w:spacing w:line="276" w:lineRule="auto"/>
        <w:jc w:val="both"/>
        <w:rPr>
          <w:rFonts w:ascii="Calibri" w:hAnsi="Calibri" w:cs="Calibri"/>
          <w:b/>
          <w:bCs/>
          <w:sz w:val="22"/>
          <w:szCs w:val="22"/>
        </w:rPr>
      </w:pPr>
      <w:r w:rsidRPr="00DA1DAD">
        <w:rPr>
          <w:rFonts w:ascii="Calibri" w:hAnsi="Calibri" w:cs="Calibri"/>
          <w:b/>
          <w:bCs/>
          <w:sz w:val="22"/>
          <w:szCs w:val="22"/>
        </w:rPr>
        <w:t>Benefits of Registration</w:t>
      </w:r>
    </w:p>
    <w:p w14:paraId="52539397" w14:textId="0D3BFC8B"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The Ghana Investment Promotion Centre (GIPC) Act outlines the significance of registration and the implications of non-registration of TTAs in Ghana. It is essential for companies operating in Ghana to adhere to the registration requirements to ensure compliance with the law. Registration facilitates the transferability of funds, allowing for seamless financial transactions within and outside the country. This enables companies to efficiently manage their financial resources for operational and investment purposes.</w:t>
      </w:r>
    </w:p>
    <w:p w14:paraId="6B51DBFF"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Furthermore, annual transfer payments made under a registered TTA are recognized as legitimate business expenses by the transferee company. This acknowledgement allows for the deduction of transfer payments from the company's profits before tax, providing a beneficial financial incentive for registered </w:t>
      </w:r>
      <w:r w:rsidRPr="00DA1DAD">
        <w:rPr>
          <w:rFonts w:ascii="Calibri" w:hAnsi="Calibri" w:cs="Calibri"/>
          <w:color w:val="1C1C1C"/>
          <w:sz w:val="22"/>
          <w:szCs w:val="22"/>
          <w:shd w:val="clear" w:color="auto" w:fill="FFFFFF"/>
        </w:rPr>
        <w:lastRenderedPageBreak/>
        <w:t xml:space="preserve">agreements. In addition to financial considerations, registered TTAs also enable the legal transfer of fees and charges outside of Ghana, as well as the transfer of profits, capital, and dividends. This promotes transparency and facilitates international business operations in accordance with Ghanaian law. </w:t>
      </w:r>
    </w:p>
    <w:p w14:paraId="3E71C52A" w14:textId="7777777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b/>
          <w:bCs/>
          <w:color w:val="1C1C1C"/>
          <w:sz w:val="22"/>
          <w:szCs w:val="22"/>
          <w:shd w:val="clear" w:color="auto" w:fill="FFFFFF"/>
        </w:rPr>
        <w:t>Effects of Non-Registration</w:t>
      </w:r>
    </w:p>
    <w:p w14:paraId="2DA5BC18" w14:textId="79CF99B7"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 xml:space="preserve">Failure to register a TTA is a breach of </w:t>
      </w:r>
      <w:r w:rsidR="006F4DB5" w:rsidRPr="00DA1DAD">
        <w:rPr>
          <w:rFonts w:ascii="Calibri" w:hAnsi="Calibri" w:cs="Calibri"/>
          <w:color w:val="1C1C1C"/>
          <w:sz w:val="22"/>
          <w:szCs w:val="22"/>
          <w:shd w:val="clear" w:color="auto" w:fill="FFFFFF"/>
        </w:rPr>
        <w:t>Act</w:t>
      </w:r>
      <w:r w:rsidR="00880A04">
        <w:rPr>
          <w:rFonts w:ascii="Calibri" w:hAnsi="Calibri" w:cs="Calibri"/>
          <w:color w:val="1C1C1C"/>
          <w:sz w:val="22"/>
          <w:szCs w:val="22"/>
          <w:shd w:val="clear" w:color="auto" w:fill="FFFFFF"/>
        </w:rPr>
        <w:t xml:space="preserve"> 865</w:t>
      </w:r>
      <w:r w:rsidR="006F4DB5" w:rsidRPr="00DA1DAD">
        <w:rPr>
          <w:rFonts w:ascii="Calibri" w:hAnsi="Calibri" w:cs="Calibri"/>
          <w:color w:val="1C1C1C"/>
          <w:sz w:val="22"/>
          <w:szCs w:val="22"/>
          <w:shd w:val="clear" w:color="auto" w:fill="FFFFFF"/>
        </w:rPr>
        <w:t>,</w:t>
      </w:r>
      <w:r w:rsidRPr="00DA1DAD">
        <w:rPr>
          <w:rFonts w:ascii="Calibri" w:hAnsi="Calibri" w:cs="Calibri"/>
          <w:color w:val="1C1C1C"/>
          <w:sz w:val="22"/>
          <w:szCs w:val="22"/>
          <w:shd w:val="clear" w:color="auto" w:fill="FFFFFF"/>
        </w:rPr>
        <w:t xml:space="preserve"> and defaulters are liable to summary conviction. The transferee may also be faced with challenges of transfer of fees because transfer of funds under an unregistered TTA is not permitted. The Ghana Revenue Authority (G.R.A) may deduct the relevant taxes while the Bank of Ghana (B.O.G) may still disallow the transfer of funds due to non-registration. </w:t>
      </w:r>
    </w:p>
    <w:p w14:paraId="4A2DA468" w14:textId="04FB291F" w:rsidR="00DA1DAD" w:rsidRPr="00DA1DAD" w:rsidRDefault="00DA1DAD" w:rsidP="00DA1DAD">
      <w:pPr>
        <w:tabs>
          <w:tab w:val="left" w:pos="900"/>
        </w:tabs>
        <w:spacing w:line="276" w:lineRule="auto"/>
        <w:jc w:val="both"/>
        <w:rPr>
          <w:rFonts w:ascii="Calibri" w:hAnsi="Calibri" w:cs="Calibri"/>
          <w:color w:val="1C1C1C"/>
          <w:sz w:val="22"/>
          <w:szCs w:val="22"/>
          <w:shd w:val="clear" w:color="auto" w:fill="FFFFFF"/>
        </w:rPr>
      </w:pPr>
      <w:r w:rsidRPr="00DA1DAD">
        <w:rPr>
          <w:rFonts w:ascii="Calibri" w:hAnsi="Calibri" w:cs="Calibri"/>
          <w:color w:val="1C1C1C"/>
          <w:sz w:val="22"/>
          <w:szCs w:val="22"/>
          <w:shd w:val="clear" w:color="auto" w:fill="FFFFFF"/>
        </w:rPr>
        <w:t>Furthermore, non-registered TTAs are considered unlawful under Act</w:t>
      </w:r>
      <w:r w:rsidR="006F4DB5">
        <w:rPr>
          <w:rFonts w:ascii="Calibri" w:hAnsi="Calibri" w:cs="Calibri"/>
          <w:color w:val="1C1C1C"/>
          <w:sz w:val="22"/>
          <w:szCs w:val="22"/>
          <w:shd w:val="clear" w:color="auto" w:fill="FFFFFF"/>
        </w:rPr>
        <w:t xml:space="preserve"> 865</w:t>
      </w:r>
      <w:r w:rsidRPr="00DA1DAD">
        <w:rPr>
          <w:rFonts w:ascii="Calibri" w:hAnsi="Calibri" w:cs="Calibri"/>
          <w:color w:val="1C1C1C"/>
          <w:sz w:val="22"/>
          <w:szCs w:val="22"/>
          <w:shd w:val="clear" w:color="auto" w:fill="FFFFFF"/>
        </w:rPr>
        <w:t xml:space="preserve">, leading to the potential suspension of incentives granted to the company by the GIPC. Any unregistered TTA is unenforceable in the event of disputes, posing significant legal challenges for the parties involved. </w:t>
      </w:r>
      <w:r w:rsidRPr="00DA1DAD">
        <w:rPr>
          <w:rFonts w:ascii="Calibri" w:hAnsi="Calibri" w:cs="Calibri"/>
          <w:sz w:val="22"/>
          <w:szCs w:val="22"/>
        </w:rPr>
        <w:t xml:space="preserve">An unregistered TTA is also deemed as an illegal document. </w:t>
      </w:r>
    </w:p>
    <w:p w14:paraId="540912C1" w14:textId="77777777" w:rsidR="00DA1DAD" w:rsidRPr="00DA1DAD" w:rsidRDefault="00DA1DAD" w:rsidP="00DA1DAD">
      <w:pPr>
        <w:tabs>
          <w:tab w:val="left" w:pos="900"/>
        </w:tabs>
        <w:spacing w:line="276" w:lineRule="auto"/>
        <w:jc w:val="both"/>
        <w:rPr>
          <w:rFonts w:ascii="Calibri" w:hAnsi="Calibri" w:cs="Calibri"/>
          <w:b/>
          <w:bCs/>
          <w:color w:val="1C1C1C"/>
          <w:sz w:val="22"/>
          <w:szCs w:val="22"/>
          <w:shd w:val="clear" w:color="auto" w:fill="FFFFFF"/>
        </w:rPr>
      </w:pPr>
      <w:r w:rsidRPr="00DA1DAD">
        <w:rPr>
          <w:rFonts w:ascii="Calibri" w:hAnsi="Calibri" w:cs="Calibri"/>
          <w:b/>
          <w:bCs/>
          <w:color w:val="1C1C1C"/>
          <w:sz w:val="22"/>
          <w:szCs w:val="22"/>
          <w:shd w:val="clear" w:color="auto" w:fill="FFFFFF"/>
        </w:rPr>
        <w:t>Conclusion</w:t>
      </w:r>
    </w:p>
    <w:p w14:paraId="7C5A924E" w14:textId="0C84AD6E" w:rsidR="00DA1DAD" w:rsidRPr="00DA1DAD" w:rsidRDefault="00DA1DAD" w:rsidP="00DA1DAD">
      <w:pPr>
        <w:tabs>
          <w:tab w:val="left" w:pos="900"/>
        </w:tabs>
        <w:spacing w:line="276" w:lineRule="auto"/>
        <w:jc w:val="both"/>
        <w:rPr>
          <w:rFonts w:ascii="Calibri" w:hAnsi="Calibri" w:cs="Calibri"/>
          <w:b/>
          <w:bCs/>
          <w:sz w:val="22"/>
          <w:szCs w:val="22"/>
        </w:rPr>
      </w:pPr>
      <w:r w:rsidRPr="00DA1DAD">
        <w:rPr>
          <w:rFonts w:ascii="Calibri" w:hAnsi="Calibri" w:cs="Calibri"/>
          <w:color w:val="1C1C1C"/>
          <w:sz w:val="22"/>
          <w:szCs w:val="22"/>
          <w:shd w:val="clear" w:color="auto" w:fill="FFFFFF"/>
        </w:rPr>
        <w:t>In conclusion, registration under the Ghana Investment Promotion Centre Act is imperative for companies engaging in technology transfer agreements. Compliance with registration requirements not only ensures legal adherence but also unlocks various financial benefits and legal protections for the parties involved. By understanding the implications of non-registration, companies can proactively uphold the integrity of their business operations and mitigate potential risks associated with unregistered technology transfer agreements</w:t>
      </w:r>
      <w:r w:rsidRPr="00DA1DAD">
        <w:rPr>
          <w:rFonts w:ascii="Calibri" w:hAnsi="Calibri" w:cs="Calibri"/>
          <w:b/>
          <w:bCs/>
          <w:color w:val="1C1C1C"/>
          <w:sz w:val="22"/>
          <w:szCs w:val="22"/>
          <w:shd w:val="clear" w:color="auto" w:fill="FFFFFF"/>
        </w:rPr>
        <w:t>.</w:t>
      </w:r>
      <w:r w:rsidRPr="00DA1DAD">
        <w:rPr>
          <w:rFonts w:ascii="Calibri" w:hAnsi="Calibri" w:cs="Calibri"/>
          <w:b/>
          <w:bCs/>
          <w:sz w:val="22"/>
          <w:szCs w:val="22"/>
        </w:rPr>
        <w:tab/>
      </w:r>
    </w:p>
    <w:p w14:paraId="5AD59E9D" w14:textId="39ABBD29" w:rsidR="00DA1DAD" w:rsidRPr="00DA1DAD" w:rsidRDefault="00DA1DAD" w:rsidP="00DA1DAD">
      <w:pPr>
        <w:spacing w:line="276" w:lineRule="auto"/>
        <w:jc w:val="both"/>
        <w:rPr>
          <w:rFonts w:ascii="Calibri" w:hAnsi="Calibri" w:cs="Calibri"/>
          <w:color w:val="2C2C2C"/>
          <w:kern w:val="0"/>
          <w:sz w:val="22"/>
          <w:szCs w:val="22"/>
          <w14:ligatures w14:val="none"/>
        </w:rPr>
      </w:pPr>
    </w:p>
    <w:p w14:paraId="5032C8E6" w14:textId="6E6957FD" w:rsidR="00DA1DAD" w:rsidRPr="00DA1DAD" w:rsidRDefault="00DA1DAD" w:rsidP="00DA1DAD">
      <w:pPr>
        <w:spacing w:after="0" w:line="240" w:lineRule="auto"/>
        <w:rPr>
          <w:rFonts w:ascii="Calibri" w:hAnsi="Calibri" w:cs="Calibri"/>
          <w:b/>
          <w:bCs/>
          <w:i/>
          <w:iCs/>
          <w:kern w:val="0"/>
          <w:sz w:val="22"/>
          <w:szCs w:val="22"/>
          <w:lang w:val="en-GB"/>
          <w14:ligatures w14:val="none"/>
        </w:rPr>
      </w:pPr>
      <w:r w:rsidRPr="00DA1DAD">
        <w:rPr>
          <w:rFonts w:ascii="Calibri" w:hAnsi="Calibri" w:cs="Calibri"/>
          <w:b/>
          <w:bCs/>
          <w:i/>
          <w:iCs/>
          <w:kern w:val="0"/>
          <w:sz w:val="22"/>
          <w:szCs w:val="22"/>
          <w:lang w:val="en-GB"/>
          <w14:ligatures w14:val="none"/>
        </w:rPr>
        <w:t>By</w:t>
      </w:r>
      <w:r>
        <w:rPr>
          <w:rFonts w:ascii="Calibri" w:hAnsi="Calibri" w:cs="Calibri"/>
          <w:b/>
          <w:bCs/>
          <w:i/>
          <w:iCs/>
          <w:kern w:val="0"/>
          <w:sz w:val="22"/>
          <w:szCs w:val="22"/>
          <w:lang w:val="en-GB"/>
          <w14:ligatures w14:val="none"/>
        </w:rPr>
        <w:t xml:space="preserve"> Adeteju Ajimotokan</w:t>
      </w:r>
    </w:p>
    <w:p w14:paraId="4751ED8E" w14:textId="77777777" w:rsidR="00DA1DAD" w:rsidRPr="00DA1DAD" w:rsidRDefault="00DA1DAD" w:rsidP="00DA1DAD">
      <w:pPr>
        <w:spacing w:after="0" w:line="240" w:lineRule="auto"/>
        <w:rPr>
          <w:rFonts w:ascii="Calibri" w:hAnsi="Calibri" w:cs="Calibri"/>
          <w:b/>
          <w:bCs/>
          <w:i/>
          <w:iCs/>
          <w:kern w:val="0"/>
          <w:sz w:val="22"/>
          <w:szCs w:val="22"/>
          <w:lang w:val="en-GB"/>
          <w14:ligatures w14:val="none"/>
        </w:rPr>
      </w:pPr>
      <w:r w:rsidRPr="00DA1DAD">
        <w:rPr>
          <w:rFonts w:ascii="Calibri" w:hAnsi="Calibri" w:cs="Calibri"/>
          <w:b/>
          <w:bCs/>
          <w:i/>
          <w:iCs/>
          <w:kern w:val="0"/>
          <w:sz w:val="22"/>
          <w:szCs w:val="22"/>
          <w:lang w:val="en-GB"/>
          <w14:ligatures w14:val="none"/>
        </w:rPr>
        <w:t>(Senior Legal Consultant)</w:t>
      </w:r>
    </w:p>
    <w:p w14:paraId="2D133DCC" w14:textId="77777777" w:rsidR="00DA1DAD" w:rsidRPr="00DA1DAD" w:rsidRDefault="00DA1DAD" w:rsidP="00DA1DAD">
      <w:pPr>
        <w:spacing w:after="0" w:line="240" w:lineRule="auto"/>
        <w:rPr>
          <w:rFonts w:ascii="Calibri" w:hAnsi="Calibri" w:cs="Calibri"/>
          <w:b/>
          <w:bCs/>
          <w:i/>
          <w:iCs/>
          <w:kern w:val="0"/>
          <w:sz w:val="22"/>
          <w:szCs w:val="22"/>
          <w:lang w:val="en-GB"/>
          <w14:ligatures w14:val="none"/>
        </w:rPr>
      </w:pPr>
    </w:p>
    <w:p w14:paraId="56369373" w14:textId="298D5911" w:rsidR="00DA1DAD" w:rsidRPr="00DA1DAD" w:rsidRDefault="00DA1DAD" w:rsidP="00DA1DAD">
      <w:pPr>
        <w:spacing w:line="276" w:lineRule="auto"/>
        <w:jc w:val="both"/>
        <w:rPr>
          <w:rFonts w:ascii="Calibri" w:hAnsi="Calibri" w:cs="Calibri"/>
          <w:sz w:val="22"/>
          <w:szCs w:val="22"/>
        </w:rPr>
      </w:pPr>
      <w:r w:rsidRPr="00DA1DAD">
        <w:rPr>
          <w:rFonts w:ascii="Calibri" w:hAnsi="Calibri" w:cs="Calibri"/>
          <w:kern w:val="0"/>
          <w:sz w:val="22"/>
          <w:szCs w:val="22"/>
          <w14:ligatures w14:val="none"/>
        </w:rPr>
        <w:t>If you require further information or assistance with respect to</w:t>
      </w:r>
      <w:r>
        <w:rPr>
          <w:rFonts w:ascii="Calibri" w:hAnsi="Calibri" w:cs="Calibri"/>
          <w:kern w:val="0"/>
          <w:sz w:val="22"/>
          <w:szCs w:val="22"/>
          <w14:ligatures w14:val="none"/>
        </w:rPr>
        <w:t xml:space="preserve"> registering a technology transfer agreement,</w:t>
      </w:r>
      <w:r w:rsidRPr="00DA1DAD">
        <w:rPr>
          <w:rFonts w:ascii="Calibri" w:hAnsi="Calibri" w:cs="Calibri"/>
          <w:kern w:val="0"/>
          <w:sz w:val="22"/>
          <w:szCs w:val="22"/>
          <w14:ligatures w14:val="none"/>
        </w:rPr>
        <w:t xml:space="preserve"> kindly send an email to </w:t>
      </w:r>
      <w:r w:rsidRPr="00DA1DAD">
        <w:rPr>
          <w:rFonts w:ascii="Calibri" w:hAnsi="Calibri" w:cs="Calibri"/>
          <w:color w:val="156082" w:themeColor="accent1"/>
          <w:kern w:val="0"/>
          <w:sz w:val="22"/>
          <w:szCs w:val="22"/>
          <w:u w:val="single"/>
          <w14:ligatures w14:val="none"/>
        </w:rPr>
        <w:t>ilc</w:t>
      </w:r>
      <w:hyperlink r:id="rId14" w:history="1">
        <w:r w:rsidRPr="00DA1DAD">
          <w:rPr>
            <w:rFonts w:ascii="Calibri" w:hAnsi="Calibri" w:cs="Calibri"/>
            <w:color w:val="156082" w:themeColor="accent1"/>
            <w:kern w:val="0"/>
            <w:sz w:val="22"/>
            <w:szCs w:val="22"/>
            <w:u w:val="single"/>
            <w14:ligatures w14:val="none"/>
          </w:rPr>
          <w:t>@integratedlegalconsultants.com</w:t>
        </w:r>
      </w:hyperlink>
      <w:r w:rsidRPr="00DA1DAD">
        <w:rPr>
          <w:rFonts w:ascii="Calibri" w:hAnsi="Calibri" w:cs="Calibri"/>
          <w:color w:val="156082" w:themeColor="accent1"/>
          <w:kern w:val="0"/>
          <w:sz w:val="22"/>
          <w:szCs w:val="22"/>
          <w:u w:val="single"/>
          <w14:ligatures w14:val="none"/>
        </w:rPr>
        <w:t xml:space="preserve"> </w:t>
      </w:r>
      <w:r w:rsidRPr="00DA1DAD">
        <w:rPr>
          <w:rFonts w:ascii="Calibri" w:hAnsi="Calibri" w:cs="Calibri"/>
          <w:color w:val="156082" w:themeColor="accent1"/>
          <w:kern w:val="0"/>
          <w:sz w:val="22"/>
          <w:szCs w:val="22"/>
          <w14:ligatures w14:val="none"/>
        </w:rPr>
        <w:t xml:space="preserve"> </w:t>
      </w:r>
    </w:p>
    <w:p w14:paraId="06C3828A" w14:textId="77777777" w:rsidR="00DA1DAD" w:rsidRPr="00DA1DAD" w:rsidRDefault="00DA1DAD" w:rsidP="00DA1DAD">
      <w:pPr>
        <w:spacing w:line="259" w:lineRule="auto"/>
        <w:rPr>
          <w:rFonts w:ascii="Calibri" w:hAnsi="Calibri" w:cs="Calibri"/>
          <w:sz w:val="22"/>
          <w:szCs w:val="22"/>
        </w:rPr>
      </w:pPr>
    </w:p>
    <w:p w14:paraId="1573A0DB" w14:textId="77777777" w:rsidR="00DA1DAD" w:rsidRPr="00DA1DAD" w:rsidRDefault="00DA1DAD" w:rsidP="00DA1DAD"/>
    <w:p w14:paraId="683CD03C" w14:textId="77777777" w:rsidR="007C3982" w:rsidRDefault="007C3982"/>
    <w:sectPr w:rsidR="007C3982" w:rsidSect="00DA1DAD">
      <w:headerReference w:type="even" r:id="rId15"/>
      <w:headerReference w:type="default" r:id="rId16"/>
      <w:footerReference w:type="even" r:id="rId17"/>
      <w:footerReference w:type="default" r:id="rId18"/>
      <w:footerReference w:type="first" r:id="rId19"/>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29BCA" w14:textId="77777777" w:rsidR="008B1718" w:rsidRDefault="008B1718">
      <w:pPr>
        <w:spacing w:after="0" w:line="240" w:lineRule="auto"/>
      </w:pPr>
      <w:r>
        <w:separator/>
      </w:r>
    </w:p>
  </w:endnote>
  <w:endnote w:type="continuationSeparator" w:id="0">
    <w:p w14:paraId="0B097F0A" w14:textId="77777777" w:rsidR="008B1718" w:rsidRDefault="008B1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1CFF4" w14:textId="77777777" w:rsidR="00000000" w:rsidRDefault="00000000">
    <w:pPr>
      <w:pStyle w:val="Footer"/>
    </w:pPr>
  </w:p>
  <w:p w14:paraId="57F39204"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371334"/>
      <w:docPartObj>
        <w:docPartGallery w:val="Page Numbers (Bottom of Page)"/>
        <w:docPartUnique/>
      </w:docPartObj>
    </w:sdtPr>
    <w:sdtEndPr>
      <w:rPr>
        <w:noProof/>
      </w:rPr>
    </w:sdtEndPr>
    <w:sdtContent>
      <w:p w14:paraId="56CB9135" w14:textId="77777777" w:rsidR="00000000" w:rsidRDefault="00000000">
        <w:pPr>
          <w:pStyle w:val="Footer"/>
        </w:pPr>
        <w:r>
          <w:fldChar w:fldCharType="begin"/>
        </w:r>
        <w:r>
          <w:instrText xml:space="preserve"> PAGE   \* MERGEFORMAT </w:instrText>
        </w:r>
        <w:r>
          <w:fldChar w:fldCharType="separate"/>
        </w:r>
        <w:r>
          <w:rPr>
            <w:noProof/>
          </w:rPr>
          <w:t>2</w:t>
        </w:r>
        <w:r>
          <w:rPr>
            <w:noProof/>
          </w:rPr>
          <w:fldChar w:fldCharType="end"/>
        </w:r>
      </w:p>
    </w:sdtContent>
  </w:sdt>
  <w:p w14:paraId="5A8E764B" w14:textId="77777777" w:rsidR="00000000" w:rsidRDefault="00000000" w:rsidP="00F14CA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8A257" w14:textId="77777777" w:rsidR="00000000" w:rsidRDefault="00000000" w:rsidP="00F14CA6">
    <w:pPr>
      <w:pStyle w:val="Footer"/>
      <w:rPr>
        <w:rFonts w:ascii="Calibri" w:hAnsi="Calibri"/>
        <w:i/>
        <w:color w:val="000000" w:themeColor="text1"/>
        <w:sz w:val="20"/>
        <w:szCs w:val="20"/>
      </w:rPr>
    </w:pPr>
    <w:r w:rsidRPr="0034032E">
      <w:rPr>
        <w:rFonts w:ascii="Calibri" w:hAnsi="Calibri"/>
        <w:i/>
        <w:color w:val="000000" w:themeColor="text1"/>
        <w:sz w:val="20"/>
        <w:szCs w:val="20"/>
      </w:rPr>
      <w:t xml:space="preserve">This newsletter includes general information about legal issues and developments in the law. Such materials are for informational </w:t>
    </w:r>
  </w:p>
  <w:p w14:paraId="3568CF34" w14:textId="77777777" w:rsidR="00000000" w:rsidRDefault="00000000" w:rsidP="00F14CA6">
    <w:pPr>
      <w:pStyle w:val="Footer"/>
    </w:pPr>
    <w:r w:rsidRPr="0034032E">
      <w:rPr>
        <w:rFonts w:ascii="Calibri" w:hAnsi="Calibri"/>
        <w:i/>
        <w:color w:val="000000" w:themeColor="text1"/>
        <w:sz w:val="20"/>
        <w:szCs w:val="20"/>
      </w:rPr>
      <w:t>purposes only and may not necessarily reflect the most current legal developments. These informational materials are not intended, and must not be taken, as legal advice on any particular set of facts or circumstances. You need to contact a lawyer licensed in your jurisdiction for advice on specific legal issues</w:t>
    </w:r>
    <w:r>
      <w:rPr>
        <w:rFonts w:ascii="Calibri" w:hAnsi="Calibri"/>
        <w:i/>
        <w:color w:val="000000" w:themeColor="text1"/>
        <w:sz w:val="20"/>
        <w:szCs w:val="20"/>
      </w:rPr>
      <w:t xml:space="preserve"> and</w:t>
    </w:r>
    <w:r w:rsidRPr="0034032E">
      <w:rPr>
        <w:rFonts w:ascii="Calibri" w:hAnsi="Calibri"/>
        <w:i/>
        <w:color w:val="000000" w:themeColor="text1"/>
        <w:sz w:val="20"/>
        <w:szCs w:val="20"/>
      </w:rPr>
      <w:t xml:space="preserve"> problems</w:t>
    </w:r>
    <w:r>
      <w:rPr>
        <w:rFonts w:ascii="Calibri" w:hAnsi="Calibri"/>
        <w:i/>
        <w:color w:val="000000" w:themeColor="text1"/>
        <w:sz w:val="20"/>
        <w:szCs w:val="20"/>
      </w:rPr>
      <w:t>.</w:t>
    </w:r>
  </w:p>
  <w:p w14:paraId="10E1D170" w14:textId="77777777" w:rsidR="00000000" w:rsidRDefault="00000000">
    <w:pPr>
      <w:pStyle w:val="Footer"/>
    </w:pPr>
  </w:p>
  <w:p w14:paraId="422C7D78" w14:textId="77777777" w:rsidR="00000000" w:rsidRDefault="00000000" w:rsidP="00F14CA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9365719"/>
      <w:docPartObj>
        <w:docPartGallery w:val="Page Numbers (Bottom of Page)"/>
        <w:docPartUnique/>
      </w:docPartObj>
    </w:sdtPr>
    <w:sdtEndPr>
      <w:rPr>
        <w:noProof/>
      </w:rPr>
    </w:sdtEndPr>
    <w:sdtContent>
      <w:p w14:paraId="19373939" w14:textId="77777777" w:rsidR="00000000" w:rsidRDefault="00000000">
        <w:pPr>
          <w:pStyle w:val="Footer"/>
        </w:pPr>
        <w:r>
          <w:t>0</w:t>
        </w:r>
      </w:p>
    </w:sdtContent>
  </w:sdt>
  <w:p w14:paraId="769B005E"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CCDB2" w14:textId="77777777" w:rsidR="008B1718" w:rsidRDefault="008B1718">
      <w:pPr>
        <w:spacing w:after="0" w:line="240" w:lineRule="auto"/>
      </w:pPr>
      <w:r>
        <w:separator/>
      </w:r>
    </w:p>
  </w:footnote>
  <w:footnote w:type="continuationSeparator" w:id="0">
    <w:p w14:paraId="3CB1CB8C" w14:textId="77777777" w:rsidR="008B1718" w:rsidRDefault="008B1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667EA" w14:textId="77777777" w:rsidR="00000000" w:rsidRDefault="00000000">
    <w:pPr>
      <w:pStyle w:val="Header"/>
    </w:pPr>
    <w:r w:rsidRPr="00C16F71">
      <w:rPr>
        <w:noProof/>
      </w:rPr>
      <mc:AlternateContent>
        <mc:Choice Requires="wps">
          <w:drawing>
            <wp:anchor distT="0" distB="0" distL="114300" distR="114300" simplePos="0" relativeHeight="251659264" behindDoc="0" locked="0" layoutInCell="1" allowOverlap="1" wp14:anchorId="0680FCB0" wp14:editId="1D6A96F3">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800"/>
                  <wp:lineTo x="21540" y="19800"/>
                  <wp:lineTo x="21540" y="0"/>
                  <wp:lineTo x="0" y="0"/>
                </wp:wrapPolygon>
              </wp:wrapTight>
              <wp:docPr id="7" name="Rectangle 7"/>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060680"/>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D0EB82D" w14:textId="77777777" w:rsidR="00000000" w:rsidRPr="001F036A" w:rsidRDefault="00000000" w:rsidP="00F14CA6">
                          <w:pPr>
                            <w:pStyle w:val="Header"/>
                            <w:jc w:val="center"/>
                            <w:rPr>
                              <w:color w:val="FFFFFF" w:themeColor="background1"/>
                            </w:rPr>
                          </w:pPr>
                          <w:r w:rsidRPr="001F036A">
                            <w:rPr>
                              <w:color w:val="FFFFFF" w:themeColor="background1"/>
                            </w:rPr>
                            <w:t>INTEGRATED LEGAL CONSULTANTS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0FCB0" id="Rectangle 7" o:spid="_x0000_s1029" style="position:absolute;margin-left:36pt;margin-top:36pt;width:540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" fillcolor="#060680" stroked="f" strokeweight="1pt">
              <v:textbox inset=",0,,0">
                <w:txbxContent>
                  <w:p w14:paraId="3D0EB82D" w14:textId="77777777" w:rsidR="00000000" w:rsidRPr="001F036A" w:rsidRDefault="00000000" w:rsidP="00F14CA6">
                    <w:pPr>
                      <w:pStyle w:val="Header"/>
                      <w:jc w:val="center"/>
                      <w:rPr>
                        <w:color w:val="FFFFFF" w:themeColor="background1"/>
                      </w:rPr>
                    </w:pPr>
                    <w:r w:rsidRPr="001F036A">
                      <w:rPr>
                        <w:color w:val="FFFFFF" w:themeColor="background1"/>
                      </w:rPr>
                      <w:t>INTEGRATED LEGAL CONSULTANTS</w:t>
                    </w:r>
                  </w:p>
                </w:txbxContent>
              </v:textbox>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2CBAE" w14:textId="77777777" w:rsidR="00000000" w:rsidRDefault="00000000">
    <w:pPr>
      <w:pStyle w:val="Header"/>
    </w:pPr>
    <w:r>
      <w:rPr>
        <w:noProof/>
      </w:rPr>
      <mc:AlternateContent>
        <mc:Choice Requires="wps">
          <w:drawing>
            <wp:anchor distT="0" distB="0" distL="118745" distR="118745" simplePos="0" relativeHeight="251660288" behindDoc="1" locked="0" layoutInCell="1" allowOverlap="0" wp14:anchorId="1D2DA5CC" wp14:editId="7B3E3B74">
              <wp:simplePos x="0" y="0"/>
              <wp:positionH relativeFrom="margin">
                <wp:align>left</wp:align>
              </wp:positionH>
              <wp:positionV relativeFrom="page">
                <wp:posOffset>450850</wp:posOffset>
              </wp:positionV>
              <wp:extent cx="6875780" cy="297815"/>
              <wp:effectExtent l="0" t="0" r="1270" b="6985"/>
              <wp:wrapSquare wrapText="bothSides"/>
              <wp:docPr id="197" name="Rectangle 197"/>
              <wp:cNvGraphicFramePr/>
              <a:graphic xmlns:a="http://schemas.openxmlformats.org/drawingml/2006/main">
                <a:graphicData uri="http://schemas.microsoft.com/office/word/2010/wordprocessingShape">
                  <wps:wsp>
                    <wps:cNvSpPr/>
                    <wps:spPr>
                      <a:xfrm>
                        <a:off x="0" y="0"/>
                        <a:ext cx="6875780" cy="297815"/>
                      </a:xfrm>
                      <a:prstGeom prst="rect">
                        <a:avLst/>
                      </a:prstGeom>
                      <a:solidFill>
                        <a:srgbClr val="060680"/>
                      </a:solidFill>
                      <a:ln w="12700" cap="flat" cmpd="sng" algn="ctr">
                        <a:noFill/>
                        <a:prstDash val="solid"/>
                        <a:miter lim="800000"/>
                      </a:ln>
                      <a:effectLst/>
                    </wps:spPr>
                    <wps:txbx>
                      <w:txbxContent>
                        <w:p w14:paraId="7153A5A8" w14:textId="77777777" w:rsidR="00000000" w:rsidRDefault="00000000" w:rsidP="00F14CA6">
                          <w:pPr>
                            <w:pStyle w:val="Header"/>
                            <w:tabs>
                              <w:tab w:val="clear" w:pos="4680"/>
                              <w:tab w:val="clear" w:pos="9360"/>
                            </w:tabs>
                            <w:jc w:val="center"/>
                            <w:rPr>
                              <w:caps/>
                              <w:color w:val="FFFFFF" w:themeColor="background1"/>
                            </w:rPr>
                          </w:pPr>
                          <w:sdt>
                            <w:sdtPr>
                              <w:rPr>
                                <w:caps/>
                                <w:color w:val="FFFFFF" w:themeColor="background1"/>
                              </w:rPr>
                              <w:alias w:val="Title"/>
                              <w:tag w:val=""/>
                              <w:id w:val="-897118823"/>
                              <w:showingPlcHdr/>
                              <w:dataBinding w:prefixMappings="xmlns:ns0='http://purl.org/dc/elements/1.1/' xmlns:ns1='http://schemas.openxmlformats.org/package/2006/metadata/core-properties' " w:xpath="/ns1:coreProperties[1]/ns0:title[1]" w:storeItemID="{6C3C8BC8-F283-45AE-878A-BAB7291924A1}"/>
                              <w:text/>
                            </w:sdtPr>
                            <w:sdtContent>
                              <w:r>
                                <w:rPr>
                                  <w:caps/>
                                </w:rPr>
                                <w:t xml:space="preserve">     </w:t>
                              </w:r>
                            </w:sdtContent>
                          </w:sdt>
                          <w:r>
                            <w:rPr>
                              <w:caps/>
                              <w:color w:val="FFFFFF" w:themeColor="background1"/>
                            </w:rPr>
                            <w:t>INTEGRATED LEGAL CONSULTANTS</w:t>
                          </w:r>
                        </w:p>
                        <w:p w14:paraId="31071757" w14:textId="77777777" w:rsidR="00000000" w:rsidRPr="001F036A" w:rsidRDefault="00000000">
                          <w:pPr>
                            <w:pStyle w:val="Header"/>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2DA5CC" id="Rectangle 197" o:spid="_x0000_s1030" style="position:absolute;margin-left:0;margin-top:35.5pt;width:541.4pt;height:23.45pt;z-index:-251656192;visibility:visible;mso-wrap-style:square;mso-width-percent:0;mso-height-percent:0;mso-wrap-distance-left:9.35pt;mso-wrap-distance-top:0;mso-wrap-distance-right:9.35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" o:allowoverlap="f" fillcolor="#060680" stroked="f" strokeweight="1pt">
              <v:textbox>
                <w:txbxContent>
                  <w:p w14:paraId="7153A5A8" w14:textId="77777777" w:rsidR="00000000" w:rsidRDefault="00000000" w:rsidP="00F14CA6">
                    <w:pPr>
                      <w:pStyle w:val="Header"/>
                      <w:tabs>
                        <w:tab w:val="clear" w:pos="4680"/>
                        <w:tab w:val="clear" w:pos="9360"/>
                      </w:tabs>
                      <w:jc w:val="center"/>
                      <w:rPr>
                        <w:caps/>
                        <w:color w:val="FFFFFF" w:themeColor="background1"/>
                      </w:rPr>
                    </w:pPr>
                    <w:sdt>
                      <w:sdtPr>
                        <w:rPr>
                          <w:caps/>
                          <w:color w:val="FFFFFF" w:themeColor="background1"/>
                        </w:rPr>
                        <w:alias w:val="Title"/>
                        <w:tag w:val=""/>
                        <w:id w:val="-897118823"/>
                        <w:showingPlcHdr/>
                        <w:dataBinding w:prefixMappings="xmlns:ns0='http://purl.org/dc/elements/1.1/' xmlns:ns1='http://schemas.openxmlformats.org/package/2006/metadata/core-properties' " w:xpath="/ns1:coreProperties[1]/ns0:title[1]" w:storeItemID="{6C3C8BC8-F283-45AE-878A-BAB7291924A1}"/>
                        <w:text/>
                      </w:sdtPr>
                      <w:sdtContent>
                        <w:r>
                          <w:rPr>
                            <w:caps/>
                          </w:rPr>
                          <w:t xml:space="preserve">     </w:t>
                        </w:r>
                      </w:sdtContent>
                    </w:sdt>
                    <w:r>
                      <w:rPr>
                        <w:caps/>
                        <w:color w:val="FFFFFF" w:themeColor="background1"/>
                      </w:rPr>
                      <w:t>INTEGRATED LEGAL CONSULTANTS</w:t>
                    </w:r>
                  </w:p>
                  <w:p w14:paraId="31071757" w14:textId="77777777" w:rsidR="00000000" w:rsidRPr="001F036A" w:rsidRDefault="00000000">
                    <w:pPr>
                      <w:pStyle w:val="Header"/>
                      <w:jc w:val="center"/>
                      <w:rPr>
                        <w:caps/>
                        <w:color w:val="FFFFFF" w:themeColor="background1"/>
                      </w:rPr>
                    </w:pP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66E7E"/>
    <w:multiLevelType w:val="hybridMultilevel"/>
    <w:tmpl w:val="594E6CF4"/>
    <w:lvl w:ilvl="0" w:tplc="C6D45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17057B"/>
    <w:multiLevelType w:val="hybridMultilevel"/>
    <w:tmpl w:val="CAD01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487302">
    <w:abstractNumId w:val="0"/>
  </w:num>
  <w:num w:numId="2" w16cid:durableId="1295015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AD"/>
    <w:rsid w:val="00070A66"/>
    <w:rsid w:val="00083767"/>
    <w:rsid w:val="000D4922"/>
    <w:rsid w:val="001C5193"/>
    <w:rsid w:val="002317A3"/>
    <w:rsid w:val="002A04DB"/>
    <w:rsid w:val="00463BEB"/>
    <w:rsid w:val="005676A7"/>
    <w:rsid w:val="005972AB"/>
    <w:rsid w:val="005F436D"/>
    <w:rsid w:val="00617611"/>
    <w:rsid w:val="00666ED6"/>
    <w:rsid w:val="006B2544"/>
    <w:rsid w:val="006B2A73"/>
    <w:rsid w:val="006F4DB5"/>
    <w:rsid w:val="007612A2"/>
    <w:rsid w:val="0076177C"/>
    <w:rsid w:val="007C3982"/>
    <w:rsid w:val="00880A04"/>
    <w:rsid w:val="008B1718"/>
    <w:rsid w:val="00910EBE"/>
    <w:rsid w:val="009331F9"/>
    <w:rsid w:val="00B876C8"/>
    <w:rsid w:val="00B940A9"/>
    <w:rsid w:val="00BC29BB"/>
    <w:rsid w:val="00BD2B69"/>
    <w:rsid w:val="00C21D1E"/>
    <w:rsid w:val="00C706CB"/>
    <w:rsid w:val="00CA3C21"/>
    <w:rsid w:val="00CB3FEB"/>
    <w:rsid w:val="00CF122A"/>
    <w:rsid w:val="00DA1DAD"/>
    <w:rsid w:val="00DF6948"/>
    <w:rsid w:val="00E6195F"/>
    <w:rsid w:val="00F7415F"/>
    <w:rsid w:val="00FA4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F74E0"/>
  <w15:chartTrackingRefBased/>
  <w15:docId w15:val="{9F95CC68-3478-4DF9-903C-48DA4020B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1D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1D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1D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1D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1D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1D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1D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1D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1D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D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1D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1D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1D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1D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1D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1D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1D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1DAD"/>
    <w:rPr>
      <w:rFonts w:eastAsiaTheme="majorEastAsia" w:cstheme="majorBidi"/>
      <w:color w:val="272727" w:themeColor="text1" w:themeTint="D8"/>
    </w:rPr>
  </w:style>
  <w:style w:type="paragraph" w:styleId="Title">
    <w:name w:val="Title"/>
    <w:basedOn w:val="Normal"/>
    <w:next w:val="Normal"/>
    <w:link w:val="TitleChar"/>
    <w:uiPriority w:val="9"/>
    <w:qFormat/>
    <w:rsid w:val="00DA1D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DA1D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1D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1D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1DAD"/>
    <w:pPr>
      <w:spacing w:before="160"/>
      <w:jc w:val="center"/>
    </w:pPr>
    <w:rPr>
      <w:i/>
      <w:iCs/>
      <w:color w:val="404040" w:themeColor="text1" w:themeTint="BF"/>
    </w:rPr>
  </w:style>
  <w:style w:type="character" w:customStyle="1" w:styleId="QuoteChar">
    <w:name w:val="Quote Char"/>
    <w:basedOn w:val="DefaultParagraphFont"/>
    <w:link w:val="Quote"/>
    <w:uiPriority w:val="29"/>
    <w:rsid w:val="00DA1DAD"/>
    <w:rPr>
      <w:i/>
      <w:iCs/>
      <w:color w:val="404040" w:themeColor="text1" w:themeTint="BF"/>
    </w:rPr>
  </w:style>
  <w:style w:type="paragraph" w:styleId="ListParagraph">
    <w:name w:val="List Paragraph"/>
    <w:basedOn w:val="Normal"/>
    <w:uiPriority w:val="34"/>
    <w:qFormat/>
    <w:rsid w:val="00DA1DAD"/>
    <w:pPr>
      <w:ind w:left="720"/>
      <w:contextualSpacing/>
    </w:pPr>
  </w:style>
  <w:style w:type="character" w:styleId="IntenseEmphasis">
    <w:name w:val="Intense Emphasis"/>
    <w:basedOn w:val="DefaultParagraphFont"/>
    <w:uiPriority w:val="21"/>
    <w:qFormat/>
    <w:rsid w:val="00DA1DAD"/>
    <w:rPr>
      <w:i/>
      <w:iCs/>
      <w:color w:val="0F4761" w:themeColor="accent1" w:themeShade="BF"/>
    </w:rPr>
  </w:style>
  <w:style w:type="paragraph" w:styleId="IntenseQuote">
    <w:name w:val="Intense Quote"/>
    <w:basedOn w:val="Normal"/>
    <w:next w:val="Normal"/>
    <w:link w:val="IntenseQuoteChar"/>
    <w:uiPriority w:val="30"/>
    <w:qFormat/>
    <w:rsid w:val="00DA1D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1DAD"/>
    <w:rPr>
      <w:i/>
      <w:iCs/>
      <w:color w:val="0F4761" w:themeColor="accent1" w:themeShade="BF"/>
    </w:rPr>
  </w:style>
  <w:style w:type="character" w:styleId="IntenseReference">
    <w:name w:val="Intense Reference"/>
    <w:basedOn w:val="DefaultParagraphFont"/>
    <w:uiPriority w:val="32"/>
    <w:qFormat/>
    <w:rsid w:val="00DA1DAD"/>
    <w:rPr>
      <w:b/>
      <w:bCs/>
      <w:smallCaps/>
      <w:color w:val="0F4761" w:themeColor="accent1" w:themeShade="BF"/>
      <w:spacing w:val="5"/>
    </w:rPr>
  </w:style>
  <w:style w:type="paragraph" w:styleId="Header">
    <w:name w:val="header"/>
    <w:basedOn w:val="Normal"/>
    <w:link w:val="HeaderChar"/>
    <w:uiPriority w:val="99"/>
    <w:semiHidden/>
    <w:unhideWhenUsed/>
    <w:rsid w:val="00DA1D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1DAD"/>
  </w:style>
  <w:style w:type="paragraph" w:styleId="Footer">
    <w:name w:val="footer"/>
    <w:basedOn w:val="Normal"/>
    <w:link w:val="FooterChar"/>
    <w:uiPriority w:val="99"/>
    <w:semiHidden/>
    <w:unhideWhenUsed/>
    <w:rsid w:val="00DA1D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A1DAD"/>
  </w:style>
  <w:style w:type="paragraph" w:styleId="Revision">
    <w:name w:val="Revision"/>
    <w:hidden/>
    <w:uiPriority w:val="99"/>
    <w:semiHidden/>
    <w:rsid w:val="00DA1D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cid:image001.jpg@01D63809.1958A7F0"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ilc@integratedlegalconsultan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2062</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Esohe Olajide</dc:creator>
  <cp:keywords/>
  <dc:description/>
  <cp:lastModifiedBy>Delasi</cp:lastModifiedBy>
  <cp:revision>5</cp:revision>
  <dcterms:created xsi:type="dcterms:W3CDTF">2024-07-03T12:42:00Z</dcterms:created>
  <dcterms:modified xsi:type="dcterms:W3CDTF">2024-07-03T12:52:00Z</dcterms:modified>
</cp:coreProperties>
</file>